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sz w:val="52"/>
          <w:szCs w:val="52"/>
          <w:highlight w:val="none"/>
        </w:rPr>
      </w:pPr>
      <w:r>
        <w:rPr>
          <w:sz w:val="52"/>
          <w:szCs w:val="52"/>
          <w:highlight w:val="none"/>
        </w:rPr>
        <w:t>《</w:t>
      </w:r>
      <w:r>
        <w:rPr>
          <w:rFonts w:hint="eastAsia" w:ascii="黑体" w:hAnsi="黑体" w:cs="黑体"/>
          <w:color w:val="000000"/>
          <w:sz w:val="52"/>
          <w:szCs w:val="52"/>
          <w:highlight w:val="none"/>
        </w:rPr>
        <w:t>智能家具通用技术要求</w:t>
      </w:r>
      <w:r>
        <w:rPr>
          <w:sz w:val="52"/>
          <w:szCs w:val="52"/>
          <w:highlight w:val="none"/>
        </w:rPr>
        <w:t>》</w:t>
      </w:r>
    </w:p>
    <w:p>
      <w:pPr>
        <w:rPr>
          <w:sz w:val="28"/>
          <w:szCs w:val="28"/>
          <w:highlight w:val="none"/>
        </w:rPr>
      </w:pPr>
    </w:p>
    <w:p>
      <w:pPr>
        <w:rPr>
          <w:sz w:val="28"/>
          <w:szCs w:val="28"/>
          <w:highlight w:val="none"/>
        </w:rPr>
      </w:pPr>
    </w:p>
    <w:p>
      <w:pPr>
        <w:rPr>
          <w:sz w:val="28"/>
          <w:szCs w:val="28"/>
          <w:highlight w:val="none"/>
        </w:rPr>
      </w:pPr>
    </w:p>
    <w:p>
      <w:pPr>
        <w:rPr>
          <w:sz w:val="28"/>
          <w:szCs w:val="28"/>
          <w:highlight w:val="none"/>
        </w:rPr>
      </w:pPr>
    </w:p>
    <w:p>
      <w:pPr>
        <w:rPr>
          <w:sz w:val="28"/>
          <w:szCs w:val="28"/>
          <w:highlight w:val="none"/>
        </w:rPr>
      </w:pPr>
    </w:p>
    <w:p>
      <w:pPr>
        <w:rPr>
          <w:sz w:val="28"/>
          <w:szCs w:val="28"/>
          <w:highlight w:val="none"/>
        </w:rPr>
      </w:pPr>
    </w:p>
    <w:p>
      <w:pPr>
        <w:pStyle w:val="3"/>
        <w:jc w:val="center"/>
        <w:rPr>
          <w:rFonts w:ascii="Times New Roman" w:hAnsi="宋体" w:eastAsia="宋体"/>
          <w:sz w:val="48"/>
          <w:szCs w:val="48"/>
          <w:highlight w:val="none"/>
        </w:rPr>
      </w:pPr>
      <w:r>
        <w:rPr>
          <w:rFonts w:hint="eastAsia" w:ascii="Times New Roman" w:hAnsi="宋体" w:eastAsia="宋体"/>
          <w:sz w:val="48"/>
          <w:szCs w:val="48"/>
          <w:highlight w:val="none"/>
        </w:rPr>
        <w:t>国家标准</w:t>
      </w:r>
      <w:r>
        <w:rPr>
          <w:rFonts w:ascii="Times New Roman" w:hAnsi="宋体" w:eastAsia="宋体"/>
          <w:sz w:val="48"/>
          <w:szCs w:val="48"/>
          <w:highlight w:val="none"/>
        </w:rPr>
        <w:t>编制说明</w:t>
      </w:r>
    </w:p>
    <w:p>
      <w:pPr>
        <w:jc w:val="center"/>
        <w:rPr>
          <w:sz w:val="28"/>
          <w:szCs w:val="28"/>
          <w:highlight w:val="none"/>
        </w:rPr>
      </w:pPr>
      <w:r>
        <w:rPr>
          <w:rFonts w:hint="eastAsia"/>
          <w:sz w:val="28"/>
          <w:szCs w:val="28"/>
          <w:highlight w:val="none"/>
        </w:rPr>
        <w:t>（征求意见稿）</w:t>
      </w:r>
    </w:p>
    <w:p>
      <w:pPr>
        <w:rPr>
          <w:sz w:val="28"/>
          <w:szCs w:val="28"/>
          <w:highlight w:val="none"/>
        </w:rPr>
      </w:pPr>
    </w:p>
    <w:p>
      <w:pPr>
        <w:rPr>
          <w:sz w:val="28"/>
          <w:szCs w:val="28"/>
          <w:highlight w:val="none"/>
        </w:rPr>
      </w:pPr>
    </w:p>
    <w:p>
      <w:pPr>
        <w:rPr>
          <w:sz w:val="28"/>
          <w:szCs w:val="28"/>
          <w:highlight w:val="none"/>
        </w:rPr>
      </w:pPr>
    </w:p>
    <w:p>
      <w:pPr>
        <w:rPr>
          <w:sz w:val="28"/>
          <w:szCs w:val="28"/>
          <w:highlight w:val="none"/>
        </w:rPr>
      </w:pPr>
    </w:p>
    <w:p>
      <w:pPr>
        <w:rPr>
          <w:sz w:val="28"/>
          <w:szCs w:val="28"/>
          <w:highlight w:val="none"/>
        </w:rPr>
      </w:pPr>
    </w:p>
    <w:p>
      <w:pPr>
        <w:rPr>
          <w:sz w:val="28"/>
          <w:szCs w:val="28"/>
          <w:highlight w:val="none"/>
        </w:rPr>
      </w:pPr>
    </w:p>
    <w:p>
      <w:pPr>
        <w:jc w:val="center"/>
        <w:rPr>
          <w:sz w:val="28"/>
          <w:szCs w:val="28"/>
          <w:highlight w:val="none"/>
        </w:rPr>
      </w:pPr>
      <w:r>
        <w:rPr>
          <w:rFonts w:hint="eastAsia"/>
          <w:sz w:val="28"/>
          <w:szCs w:val="28"/>
          <w:highlight w:val="none"/>
        </w:rPr>
        <w:t>《智能家具通用技术要求》</w:t>
      </w:r>
      <w:r>
        <w:rPr>
          <w:sz w:val="28"/>
          <w:szCs w:val="28"/>
          <w:highlight w:val="none"/>
        </w:rPr>
        <w:t>标准起草小组</w:t>
      </w:r>
    </w:p>
    <w:p>
      <w:pPr>
        <w:jc w:val="center"/>
        <w:rPr>
          <w:sz w:val="28"/>
          <w:szCs w:val="28"/>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0" w:footer="992" w:gutter="0"/>
          <w:cols w:space="720" w:num="1"/>
          <w:titlePg/>
          <w:docGrid w:type="lines" w:linePitch="312" w:charSpace="0"/>
        </w:sectPr>
      </w:pPr>
      <w:r>
        <w:rPr>
          <w:rFonts w:hint="eastAsia"/>
          <w:sz w:val="28"/>
          <w:szCs w:val="28"/>
          <w:highlight w:val="none"/>
        </w:rPr>
        <w:t>二〇二二</w:t>
      </w:r>
      <w:r>
        <w:rPr>
          <w:sz w:val="28"/>
          <w:szCs w:val="28"/>
          <w:highlight w:val="none"/>
        </w:rPr>
        <w:t>年</w:t>
      </w:r>
      <w:r>
        <w:rPr>
          <w:rFonts w:hint="eastAsia"/>
          <w:sz w:val="28"/>
          <w:szCs w:val="28"/>
          <w:highlight w:val="none"/>
        </w:rPr>
        <w:t>十</w:t>
      </w:r>
      <w:r>
        <w:rPr>
          <w:sz w:val="28"/>
          <w:szCs w:val="28"/>
          <w:highlight w:val="none"/>
        </w:rPr>
        <w:t>月</w:t>
      </w:r>
    </w:p>
    <w:p>
      <w:pPr>
        <w:pStyle w:val="2"/>
        <w:jc w:val="center"/>
        <w:rPr>
          <w:sz w:val="32"/>
          <w:szCs w:val="32"/>
          <w:highlight w:val="none"/>
        </w:rPr>
      </w:pPr>
      <w:r>
        <w:rPr>
          <w:sz w:val="32"/>
          <w:szCs w:val="32"/>
          <w:highlight w:val="none"/>
        </w:rPr>
        <w:t>《</w:t>
      </w:r>
      <w:r>
        <w:rPr>
          <w:rFonts w:hint="eastAsia"/>
          <w:sz w:val="32"/>
          <w:szCs w:val="32"/>
          <w:highlight w:val="none"/>
        </w:rPr>
        <w:t>智能家具通用技术要求》</w:t>
      </w:r>
      <w:r>
        <w:rPr>
          <w:rFonts w:hAnsi="宋体"/>
          <w:sz w:val="32"/>
          <w:szCs w:val="32"/>
          <w:highlight w:val="none"/>
        </w:rPr>
        <w:t>编制说明</w:t>
      </w:r>
    </w:p>
    <w:p>
      <w:pPr>
        <w:pStyle w:val="3"/>
        <w:jc w:val="center"/>
        <w:rPr>
          <w:rFonts w:ascii="Times New Roman" w:hAnsi="Times New Roman" w:eastAsia="宋体"/>
          <w:b w:val="0"/>
          <w:bCs w:val="0"/>
          <w:sz w:val="30"/>
          <w:szCs w:val="30"/>
          <w:highlight w:val="none"/>
        </w:rPr>
      </w:pPr>
      <w:r>
        <w:rPr>
          <w:rFonts w:hint="eastAsia" w:ascii="Times New Roman" w:hAnsi="Times New Roman" w:eastAsia="宋体"/>
          <w:b w:val="0"/>
          <w:bCs w:val="0"/>
          <w:sz w:val="30"/>
          <w:szCs w:val="30"/>
          <w:highlight w:val="none"/>
        </w:rPr>
        <w:t>（征求意见稿）</w:t>
      </w:r>
    </w:p>
    <w:p>
      <w:pPr>
        <w:pStyle w:val="3"/>
        <w:rPr>
          <w:rFonts w:ascii="黑体" w:hAnsi="黑体" w:cs="黑体"/>
          <w:b w:val="0"/>
          <w:bCs w:val="0"/>
          <w:sz w:val="28"/>
          <w:szCs w:val="28"/>
          <w:highlight w:val="none"/>
        </w:rPr>
      </w:pPr>
      <w:r>
        <w:rPr>
          <w:rFonts w:hint="eastAsia" w:ascii="黑体" w:hAnsi="黑体" w:cs="黑体"/>
          <w:b w:val="0"/>
          <w:bCs w:val="0"/>
          <w:sz w:val="28"/>
          <w:szCs w:val="28"/>
          <w:highlight w:val="none"/>
        </w:rPr>
        <w:t>1 工作简况</w:t>
      </w:r>
    </w:p>
    <w:p>
      <w:pPr>
        <w:numPr>
          <w:ilvl w:val="1"/>
          <w:numId w:val="1"/>
        </w:numPr>
        <w:spacing w:beforeLines="50" w:afterLines="50" w:line="360" w:lineRule="exact"/>
        <w:rPr>
          <w:rFonts w:ascii="黑体" w:hAnsi="黑体" w:eastAsia="黑体"/>
          <w:bCs/>
          <w:sz w:val="28"/>
          <w:szCs w:val="28"/>
          <w:highlight w:val="none"/>
        </w:rPr>
      </w:pPr>
      <w:r>
        <w:rPr>
          <w:rFonts w:ascii="黑体" w:hAnsi="黑体" w:eastAsia="黑体"/>
          <w:bCs/>
          <w:sz w:val="28"/>
          <w:szCs w:val="28"/>
          <w:highlight w:val="none"/>
        </w:rPr>
        <w:t>任务来源</w:t>
      </w:r>
    </w:p>
    <w:p>
      <w:pPr>
        <w:spacing w:line="360" w:lineRule="auto"/>
        <w:ind w:firstLine="480" w:firstLineChars="200"/>
        <w:rPr>
          <w:rFonts w:hAnsi="宋体"/>
          <w:sz w:val="24"/>
          <w:highlight w:val="none"/>
        </w:rPr>
      </w:pPr>
      <w:r>
        <w:rPr>
          <w:rFonts w:hint="eastAsia" w:hAnsi="宋体"/>
          <w:sz w:val="24"/>
          <w:highlight w:val="none"/>
        </w:rPr>
        <w:t>随着互联网、5G 等科技的出现，智能家居逐步出现在家装市场并逐渐被消费者所认知接受。作为智能家居的重要组成部分，智能家具也随之迅速发展。家具行业迎来时代新需求，逐步向智能化、人性化的高科技方向发展。模块化设计构成的组合智能、信息化的电子智能、机电一体化的机械智能和网络数据化的物联智能融入传统家具产品中，使家具具有智能、便捷、时尚的特点。</w:t>
      </w:r>
    </w:p>
    <w:p>
      <w:pPr>
        <w:spacing w:line="360" w:lineRule="auto"/>
        <w:ind w:firstLine="480" w:firstLineChars="200"/>
        <w:rPr>
          <w:rFonts w:hAnsi="宋体"/>
          <w:sz w:val="24"/>
          <w:highlight w:val="none"/>
        </w:rPr>
      </w:pPr>
      <w:r>
        <w:rPr>
          <w:rFonts w:hint="eastAsia" w:hAnsi="宋体"/>
          <w:sz w:val="24"/>
          <w:highlight w:val="none"/>
        </w:rPr>
        <w:t>家具智能化是家具产业转型升级的方向。“十九”大报告指出：“必须把发展经济的着力点放在实体经济上，加快发展先进制造业，推动人工智能和实体经济深度融合”。随着供给侧结构性改革的深入，传统家具产业应乘势而动，向智能化方向转型。</w:t>
      </w:r>
    </w:p>
    <w:p>
      <w:pPr>
        <w:spacing w:line="360" w:lineRule="auto"/>
        <w:ind w:firstLine="480" w:firstLineChars="200"/>
        <w:rPr>
          <w:rFonts w:hAnsi="宋体"/>
          <w:sz w:val="24"/>
          <w:highlight w:val="none"/>
        </w:rPr>
      </w:pPr>
      <w:r>
        <w:rPr>
          <w:rFonts w:hint="eastAsia" w:hAnsi="宋体"/>
          <w:sz w:val="24"/>
          <w:highlight w:val="none"/>
        </w:rPr>
        <w:t>传统的家具生产行业是劳动密集型产业，将传统与科技相融合，将极大的增加家具产品的附加值。根据推算，未来我国人民对智能家具产品的消费需求会进一步提高，智能家具的市场前景非常广阔。</w:t>
      </w:r>
    </w:p>
    <w:p>
      <w:pPr>
        <w:spacing w:line="360" w:lineRule="auto"/>
        <w:ind w:firstLine="480" w:firstLineChars="200"/>
        <w:rPr>
          <w:rFonts w:hAnsi="宋体"/>
          <w:sz w:val="24"/>
          <w:highlight w:val="none"/>
        </w:rPr>
      </w:pPr>
      <w:r>
        <w:rPr>
          <w:rFonts w:hint="eastAsia" w:hAnsi="宋体"/>
          <w:sz w:val="24"/>
          <w:highlight w:val="none"/>
        </w:rPr>
        <w:t>制定智能家具标准，</w:t>
      </w:r>
      <w:r>
        <w:rPr>
          <w:rFonts w:hint="eastAsia" w:hAnsi="宋体"/>
          <w:sz w:val="24"/>
          <w:highlight w:val="none"/>
          <w:lang w:eastAsia="zh-CN"/>
        </w:rPr>
        <w:t>对于</w:t>
      </w:r>
      <w:r>
        <w:rPr>
          <w:rFonts w:hint="eastAsia" w:hAnsi="宋体"/>
          <w:sz w:val="24"/>
          <w:highlight w:val="none"/>
        </w:rPr>
        <w:t>构建完善的家具标准化体系意义重大。目前我国智能家具暂无相关国家标准，智能家具产品的研发、生产也处在初级阶段。因此，非常有必要制定智能家具的国家标准，对智能家具产品的技术指标进行规范化，统一行业要求。</w:t>
      </w:r>
    </w:p>
    <w:p>
      <w:pPr>
        <w:spacing w:line="360" w:lineRule="auto"/>
        <w:ind w:firstLine="480" w:firstLineChars="200"/>
        <w:rPr>
          <w:rFonts w:hAnsi="宋体"/>
          <w:sz w:val="24"/>
          <w:highlight w:val="none"/>
        </w:rPr>
      </w:pPr>
      <w:r>
        <w:rPr>
          <w:rFonts w:hint="eastAsia" w:hAnsi="宋体"/>
          <w:sz w:val="24"/>
          <w:highlight w:val="none"/>
        </w:rPr>
        <w:t>2021年10月13日，国家标准化管理委员会下达了文件：国标委发</w:t>
      </w:r>
      <w:r>
        <w:rPr>
          <w:rFonts w:hint="eastAsia" w:hAnsi="宋体"/>
          <w:sz w:val="24"/>
          <w:highlight w:val="none"/>
          <w:lang w:eastAsia="zh-CN"/>
        </w:rPr>
        <w:t>〔</w:t>
      </w:r>
      <w:r>
        <w:rPr>
          <w:rFonts w:hint="eastAsia" w:hAnsi="宋体"/>
          <w:sz w:val="24"/>
          <w:highlight w:val="none"/>
        </w:rPr>
        <w:t>2021</w:t>
      </w:r>
      <w:r>
        <w:rPr>
          <w:rFonts w:hint="eastAsia" w:hAnsi="宋体"/>
          <w:sz w:val="24"/>
          <w:highlight w:val="none"/>
          <w:lang w:eastAsia="zh-CN"/>
        </w:rPr>
        <w:t>〕</w:t>
      </w:r>
      <w:r>
        <w:rPr>
          <w:rFonts w:hint="eastAsia" w:hAnsi="宋体"/>
          <w:sz w:val="24"/>
          <w:highlight w:val="none"/>
        </w:rPr>
        <w:t>28号“国家标准化管理委员会关于下达2021年第三批推荐性国家标准计划及相关标准外文版计划的通知”。通知中明确了项目编号（20214358-T-607）《智能家具通用技术要求》标准制定任务。</w:t>
      </w:r>
    </w:p>
    <w:p>
      <w:pPr>
        <w:spacing w:line="360" w:lineRule="auto"/>
        <w:ind w:firstLine="480" w:firstLineChars="200"/>
        <w:rPr>
          <w:rFonts w:hAnsi="宋体"/>
          <w:sz w:val="24"/>
          <w:highlight w:val="none"/>
        </w:rPr>
      </w:pPr>
      <w:r>
        <w:rPr>
          <w:rFonts w:hint="eastAsia" w:ascii="宋体" w:hAnsi="宋体"/>
          <w:sz w:val="24"/>
          <w:highlight w:val="none"/>
        </w:rPr>
        <w:t>本标准由中国轻工业联合会提出，全国家具标准化技术委员会（</w:t>
      </w:r>
      <w:r>
        <w:rPr>
          <w:rFonts w:ascii="宋体" w:hAnsi="宋体"/>
          <w:sz w:val="24"/>
          <w:highlight w:val="none"/>
        </w:rPr>
        <w:t>SAC/TC 480</w:t>
      </w:r>
      <w:r>
        <w:rPr>
          <w:rFonts w:hint="eastAsia" w:ascii="宋体" w:hAnsi="宋体"/>
          <w:sz w:val="24"/>
          <w:highlight w:val="none"/>
        </w:rPr>
        <w:t>）归口。</w:t>
      </w:r>
      <w:r>
        <w:rPr>
          <w:rFonts w:hint="eastAsia" w:hAnsi="宋体"/>
          <w:sz w:val="24"/>
          <w:highlight w:val="none"/>
        </w:rPr>
        <w:t>由</w:t>
      </w:r>
      <w:r>
        <w:rPr>
          <w:rFonts w:hint="eastAsia" w:hAnsi="宋体"/>
          <w:sz w:val="24"/>
          <w:highlight w:val="none"/>
          <w:lang w:val="en-US" w:eastAsia="zh-CN"/>
        </w:rPr>
        <w:t>顾家家居股份有限公司、</w:t>
      </w:r>
      <w:r>
        <w:rPr>
          <w:rFonts w:hint="eastAsia" w:hAnsi="宋体"/>
          <w:sz w:val="24"/>
          <w:highlight w:val="none"/>
        </w:rPr>
        <w:t>北京市产品质量监督检验研究院（国家家具及室内环境质量检验检测中心）等多家单位及机构参与编制。</w:t>
      </w:r>
    </w:p>
    <w:p>
      <w:pPr>
        <w:numPr>
          <w:ilvl w:val="1"/>
          <w:numId w:val="1"/>
        </w:numPr>
        <w:spacing w:beforeLines="50" w:afterLines="50" w:line="360" w:lineRule="exact"/>
        <w:rPr>
          <w:rFonts w:ascii="黑体" w:hAnsi="黑体" w:eastAsia="黑体"/>
          <w:bCs/>
          <w:sz w:val="28"/>
          <w:szCs w:val="28"/>
          <w:highlight w:val="none"/>
        </w:rPr>
      </w:pPr>
      <w:r>
        <w:rPr>
          <w:rFonts w:hint="eastAsia" w:ascii="黑体" w:hAnsi="黑体" w:eastAsia="黑体"/>
          <w:bCs/>
          <w:sz w:val="28"/>
          <w:szCs w:val="28"/>
          <w:highlight w:val="none"/>
        </w:rPr>
        <w:t>主要工作过程</w:t>
      </w:r>
    </w:p>
    <w:p>
      <w:pPr>
        <w:spacing w:beforeLines="50" w:afterLines="50" w:line="460" w:lineRule="exact"/>
        <w:outlineLvl w:val="0"/>
        <w:rPr>
          <w:rFonts w:ascii="黑体" w:hAnsi="宋体" w:eastAsia="黑体"/>
          <w:sz w:val="28"/>
          <w:szCs w:val="28"/>
          <w:highlight w:val="none"/>
        </w:rPr>
      </w:pPr>
      <w:r>
        <w:rPr>
          <w:rFonts w:hint="eastAsia" w:ascii="黑体" w:hAnsi="宋体" w:eastAsia="黑体"/>
          <w:sz w:val="28"/>
          <w:szCs w:val="28"/>
          <w:highlight w:val="none"/>
        </w:rPr>
        <w:t>1.2.1成立起草小组</w:t>
      </w:r>
    </w:p>
    <w:p>
      <w:pPr>
        <w:spacing w:line="360" w:lineRule="auto"/>
        <w:ind w:firstLine="480" w:firstLineChars="200"/>
        <w:rPr>
          <w:rFonts w:hAnsi="宋体"/>
          <w:sz w:val="24"/>
          <w:highlight w:val="none"/>
        </w:rPr>
      </w:pPr>
      <w:r>
        <w:rPr>
          <w:rFonts w:hint="eastAsia" w:ascii="宋体" w:hAnsi="宋体"/>
          <w:sz w:val="24"/>
          <w:highlight w:val="none"/>
        </w:rPr>
        <w:t>北京市产品质量监督检验研究院（国家家具及室内环境质量检验检测中心）集合其他参编单位</w:t>
      </w:r>
      <w:r>
        <w:rPr>
          <w:rFonts w:hAnsi="宋体"/>
          <w:sz w:val="24"/>
          <w:highlight w:val="none"/>
        </w:rPr>
        <w:t>成立了标准起草小组</w:t>
      </w:r>
      <w:r>
        <w:rPr>
          <w:rFonts w:hint="eastAsia" w:hAnsi="宋体"/>
          <w:sz w:val="24"/>
          <w:highlight w:val="none"/>
        </w:rPr>
        <w:t>，</w:t>
      </w:r>
      <w:r>
        <w:rPr>
          <w:rFonts w:hint="eastAsia" w:ascii="宋体" w:hAnsi="宋体"/>
          <w:sz w:val="24"/>
          <w:highlight w:val="none"/>
        </w:rPr>
        <w:t>制定了标准起草工作计划，并落实了标准起草中各项具体工作的承办人。2021年11月，标准起草小组按时向全国家具标准化技术委员会提交了《家具标准项目制修订任务书》。标准起草</w:t>
      </w:r>
      <w:r>
        <w:rPr>
          <w:rFonts w:hint="eastAsia" w:hAnsi="宋体"/>
          <w:sz w:val="24"/>
          <w:highlight w:val="none"/>
        </w:rPr>
        <w:t>小组由</w:t>
      </w:r>
      <w:r>
        <w:rPr>
          <w:rFonts w:hint="eastAsia" w:hAnsi="宋体"/>
          <w:sz w:val="24"/>
          <w:highlight w:val="none"/>
          <w:lang w:val="en-US" w:eastAsia="zh-CN"/>
        </w:rPr>
        <w:t>孙书冬、屠家会、于雪斐、敬军、罗菊芬、钟文翰、姚晨岚、孙燕曲</w:t>
      </w:r>
      <w:r>
        <w:rPr>
          <w:rFonts w:hint="eastAsia" w:hAnsi="宋体"/>
          <w:sz w:val="24"/>
          <w:highlight w:val="none"/>
        </w:rPr>
        <w:t>等专业技术人员组成。</w:t>
      </w:r>
    </w:p>
    <w:p>
      <w:pPr>
        <w:spacing w:beforeLines="50" w:afterLines="50" w:line="460" w:lineRule="exact"/>
        <w:outlineLvl w:val="0"/>
        <w:rPr>
          <w:rFonts w:ascii="黑体" w:hAnsi="宋体" w:eastAsia="黑体"/>
          <w:sz w:val="28"/>
          <w:szCs w:val="28"/>
          <w:highlight w:val="none"/>
        </w:rPr>
      </w:pPr>
      <w:r>
        <w:rPr>
          <w:rFonts w:hint="eastAsia" w:ascii="黑体" w:hAnsi="宋体" w:eastAsia="黑体"/>
          <w:sz w:val="28"/>
          <w:szCs w:val="28"/>
          <w:highlight w:val="none"/>
        </w:rPr>
        <w:t>1.2.2 形成标准草案</w:t>
      </w:r>
    </w:p>
    <w:p>
      <w:pPr>
        <w:spacing w:line="360" w:lineRule="auto"/>
        <w:ind w:firstLine="480" w:firstLineChars="200"/>
        <w:rPr>
          <w:sz w:val="24"/>
          <w:highlight w:val="none"/>
        </w:rPr>
      </w:pPr>
      <w:r>
        <w:rPr>
          <w:sz w:val="24"/>
          <w:highlight w:val="none"/>
        </w:rPr>
        <w:t>2021年11月至2022年3月，标准起草小组广泛收集、查阅国内外关于相关标准和技术资料，并完成了资料的整理和汇总工作。</w:t>
      </w:r>
    </w:p>
    <w:p>
      <w:pPr>
        <w:spacing w:line="360" w:lineRule="auto"/>
        <w:ind w:firstLine="480" w:firstLineChars="200"/>
        <w:rPr>
          <w:sz w:val="24"/>
          <w:highlight w:val="none"/>
        </w:rPr>
      </w:pPr>
      <w:r>
        <w:rPr>
          <w:sz w:val="24"/>
          <w:highlight w:val="none"/>
        </w:rPr>
        <w:t>2022年3月22日，</w:t>
      </w:r>
      <w:r>
        <w:rPr>
          <w:rFonts w:hint="eastAsia"/>
          <w:sz w:val="24"/>
          <w:highlight w:val="none"/>
        </w:rPr>
        <w:t>北京质检院集合了院内家具、软件中心、电子电器、电磁兼容领域的多名技术人员集中针对智能家具的智能化控制、单机功能和互联功能等内容进行讨论。</w:t>
      </w:r>
    </w:p>
    <w:p>
      <w:pPr>
        <w:spacing w:line="360" w:lineRule="auto"/>
        <w:ind w:firstLine="480" w:firstLineChars="200"/>
        <w:rPr>
          <w:sz w:val="24"/>
          <w:highlight w:val="none"/>
        </w:rPr>
      </w:pPr>
      <w:r>
        <w:rPr>
          <w:rFonts w:hint="eastAsia"/>
          <w:sz w:val="24"/>
          <w:highlight w:val="none"/>
        </w:rPr>
        <w:t>2022年4月14日，北京质检院研究小组与顾家家居标准研究团队围绕智能家具的类型、目前企业在智能家具领域的生产情况、家具的认证方式等方面开展了研讨。</w:t>
      </w:r>
    </w:p>
    <w:p>
      <w:pPr>
        <w:spacing w:line="360" w:lineRule="auto"/>
        <w:ind w:firstLine="480" w:firstLineChars="200"/>
        <w:rPr>
          <w:sz w:val="24"/>
          <w:highlight w:val="none"/>
        </w:rPr>
      </w:pPr>
      <w:r>
        <w:rPr>
          <w:rFonts w:hint="eastAsia"/>
          <w:sz w:val="24"/>
          <w:highlight w:val="none"/>
        </w:rPr>
        <w:t>2022年4月28日，由家标委</w:t>
      </w:r>
      <w:r>
        <w:rPr>
          <w:rFonts w:hint="eastAsia"/>
          <w:sz w:val="24"/>
          <w:highlight w:val="none"/>
          <w:lang w:val="en-US" w:eastAsia="zh-CN"/>
        </w:rPr>
        <w:t>组织</w:t>
      </w:r>
      <w:r>
        <w:rPr>
          <w:rFonts w:hint="eastAsia"/>
          <w:sz w:val="24"/>
          <w:highlight w:val="none"/>
        </w:rPr>
        <w:t>举办了《智能家具通用技术要求》国家标准研讨会，近60名行业技术专家及企业代表在线参与了此次会议。在会议上，充分探讨了智能家具定义涵盖的范围、智能家具的分类等。顾家家居、深圳长江家具有限公司、青岛海尔有屋科技有限公司、北京科勒有限公司、欧派家居集团股份有限公司、惠达卫浴股份有限公司、麒盛科技股份有限公司、明珠家具股份有限公司、江西金虎保险设备集团有限公司、雨生家具有限公司、杭州骏跃科技有限公司、广东劳卡家具有限公司、永艺家具股份有限公司、林氏木业等企业代表分别阐述了对智能家具及智能化的理解及观点，同时，</w:t>
      </w:r>
      <w:r>
        <w:rPr>
          <w:sz w:val="24"/>
          <w:highlight w:val="none"/>
        </w:rPr>
        <w:t>南京林业大学吴智慧教授、北京林业大学张亚池教授、中国家具协会杨磊高级工程师</w:t>
      </w:r>
      <w:r>
        <w:rPr>
          <w:rFonts w:hint="eastAsia"/>
          <w:sz w:val="24"/>
          <w:highlight w:val="none"/>
        </w:rPr>
        <w:t>给大家分享了在智能化家具方面的研究和行业发展情况。全国家具标准化技术委员会负责人、</w:t>
      </w:r>
      <w:r>
        <w:rPr>
          <w:sz w:val="24"/>
          <w:highlight w:val="none"/>
        </w:rPr>
        <w:t>全国家用电器标准化技术委员会秘书处单位中国家用电器研究院</w:t>
      </w:r>
      <w:r>
        <w:rPr>
          <w:rFonts w:hint="eastAsia"/>
          <w:sz w:val="24"/>
          <w:highlight w:val="none"/>
        </w:rPr>
        <w:t>负责人介绍了标准编制过程的注意事项及要求。</w:t>
      </w:r>
    </w:p>
    <w:p>
      <w:pPr>
        <w:spacing w:line="360" w:lineRule="auto"/>
        <w:ind w:firstLine="480" w:firstLineChars="200"/>
        <w:rPr>
          <w:sz w:val="24"/>
          <w:highlight w:val="none"/>
        </w:rPr>
      </w:pPr>
      <w:r>
        <w:rPr>
          <w:sz w:val="24"/>
          <w:highlight w:val="none"/>
        </w:rPr>
        <w:drawing>
          <wp:inline distT="0" distB="0" distL="114300" distR="114300">
            <wp:extent cx="5278120" cy="2958465"/>
            <wp:effectExtent l="0" t="0" r="17780" b="13335"/>
            <wp:docPr id="1" name="图片 1" descr="合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合影1"/>
                    <pic:cNvPicPr>
                      <a:picLocks noChangeAspect="1"/>
                    </pic:cNvPicPr>
                  </pic:nvPicPr>
                  <pic:blipFill>
                    <a:blip r:embed="rId10" cstate="print"/>
                    <a:stretch>
                      <a:fillRect/>
                    </a:stretch>
                  </pic:blipFill>
                  <pic:spPr>
                    <a:xfrm>
                      <a:off x="0" y="0"/>
                      <a:ext cx="5278120" cy="2958465"/>
                    </a:xfrm>
                    <a:prstGeom prst="rect">
                      <a:avLst/>
                    </a:prstGeom>
                  </pic:spPr>
                </pic:pic>
              </a:graphicData>
            </a:graphic>
          </wp:inline>
        </w:drawing>
      </w:r>
    </w:p>
    <w:p>
      <w:pPr>
        <w:spacing w:line="360" w:lineRule="auto"/>
        <w:jc w:val="center"/>
        <w:rPr>
          <w:rFonts w:ascii="黑体" w:hAnsi="黑体" w:eastAsia="黑体" w:cs="黑体"/>
          <w:szCs w:val="21"/>
          <w:highlight w:val="none"/>
        </w:rPr>
      </w:pPr>
      <w:r>
        <w:rPr>
          <w:rFonts w:hint="eastAsia" w:ascii="黑体" w:hAnsi="黑体" w:eastAsia="黑体" w:cs="黑体"/>
          <w:szCs w:val="21"/>
          <w:highlight w:val="none"/>
        </w:rPr>
        <w:t>图1 标准研讨会</w:t>
      </w:r>
    </w:p>
    <w:p>
      <w:pPr>
        <w:spacing w:line="460" w:lineRule="exact"/>
        <w:ind w:firstLine="480" w:firstLineChars="200"/>
        <w:rPr>
          <w:rFonts w:ascii="宋体" w:hAnsi="宋体"/>
          <w:sz w:val="24"/>
          <w:highlight w:val="none"/>
        </w:rPr>
      </w:pPr>
      <w:r>
        <w:rPr>
          <w:rFonts w:hint="eastAsia" w:ascii="宋体" w:hAnsi="宋体"/>
          <w:sz w:val="24"/>
          <w:highlight w:val="none"/>
        </w:rPr>
        <w:t>2022年8月15日-20日，</w:t>
      </w:r>
      <w:r>
        <w:rPr>
          <w:rFonts w:hint="eastAsia" w:ascii="宋体" w:hAnsi="宋体"/>
          <w:sz w:val="24"/>
          <w:highlight w:val="none"/>
          <w:lang w:val="en-US" w:eastAsia="zh-CN"/>
        </w:rPr>
        <w:t>起草</w:t>
      </w:r>
      <w:r>
        <w:rPr>
          <w:rFonts w:hint="eastAsia" w:ascii="宋体" w:hAnsi="宋体"/>
          <w:sz w:val="24"/>
          <w:highlight w:val="none"/>
        </w:rPr>
        <w:t>小组</w:t>
      </w:r>
      <w:r>
        <w:rPr>
          <w:rFonts w:hint="eastAsia" w:ascii="宋体" w:hAnsi="宋体"/>
          <w:sz w:val="24"/>
          <w:highlight w:val="none"/>
          <w:lang w:val="en-US" w:eastAsia="zh-CN"/>
        </w:rPr>
        <w:t>相关人员</w:t>
      </w:r>
      <w:r>
        <w:rPr>
          <w:rFonts w:hint="eastAsia" w:ascii="宋体" w:hAnsi="宋体"/>
          <w:sz w:val="24"/>
          <w:highlight w:val="none"/>
        </w:rPr>
        <w:t>前往浙江，对圣奥科技股份有限公司、顾家家居股份有限公司、浙江云峰莫干山地板有限公司、德华兔宝宝装饰新材股份有限公司、永艺家具股份有限公司、麒盛科技股份有限公司等多家代表性智能家具及环保装饰材料生产企业进行了调研，了解目前市场上智能家具的产品工艺、材料和智能化功能等，</w:t>
      </w:r>
      <w:r>
        <w:rPr>
          <w:rFonts w:hint="eastAsia" w:ascii="新宋体" w:hAnsi="新宋体" w:eastAsia="新宋体"/>
          <w:sz w:val="24"/>
          <w:highlight w:val="none"/>
        </w:rPr>
        <w:t>为标准条款的制定积累了相关材料</w:t>
      </w:r>
      <w:r>
        <w:rPr>
          <w:rFonts w:hint="eastAsia" w:ascii="宋体" w:hAnsi="宋体"/>
          <w:sz w:val="24"/>
          <w:highlight w:val="none"/>
        </w:rPr>
        <w:t>。</w:t>
      </w:r>
    </w:p>
    <w:p>
      <w:pPr>
        <w:rPr>
          <w:rFonts w:ascii="宋体" w:hAnsi="宋体"/>
          <w:sz w:val="24"/>
          <w:highlight w:val="none"/>
        </w:rPr>
      </w:pPr>
      <w:r>
        <w:rPr>
          <w:highlight w:val="none"/>
        </w:rPr>
        <w:drawing>
          <wp:inline distT="0" distB="0" distL="114300" distR="114300">
            <wp:extent cx="2355850" cy="1889125"/>
            <wp:effectExtent l="0" t="0" r="6350"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stretch>
                      <a:fillRect/>
                    </a:stretch>
                  </pic:blipFill>
                  <pic:spPr>
                    <a:xfrm>
                      <a:off x="0" y="0"/>
                      <a:ext cx="2355850" cy="1889125"/>
                    </a:xfrm>
                    <a:prstGeom prst="rect">
                      <a:avLst/>
                    </a:prstGeom>
                    <a:noFill/>
                    <a:ln>
                      <a:noFill/>
                    </a:ln>
                  </pic:spPr>
                </pic:pic>
              </a:graphicData>
            </a:graphic>
          </wp:inline>
        </w:drawing>
      </w:r>
      <w:r>
        <w:rPr>
          <w:rFonts w:hint="eastAsia"/>
          <w:highlight w:val="none"/>
        </w:rPr>
        <w:t xml:space="preserve"> </w:t>
      </w:r>
      <w:r>
        <w:rPr>
          <w:highlight w:val="none"/>
        </w:rPr>
        <w:drawing>
          <wp:inline distT="0" distB="0" distL="114300" distR="114300">
            <wp:extent cx="2569210" cy="1400810"/>
            <wp:effectExtent l="0" t="0" r="254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2" cstate="print"/>
                    <a:stretch>
                      <a:fillRect/>
                    </a:stretch>
                  </pic:blipFill>
                  <pic:spPr>
                    <a:xfrm>
                      <a:off x="0" y="0"/>
                      <a:ext cx="2569210" cy="1400810"/>
                    </a:xfrm>
                    <a:prstGeom prst="rect">
                      <a:avLst/>
                    </a:prstGeom>
                    <a:noFill/>
                    <a:ln>
                      <a:noFill/>
                    </a:ln>
                  </pic:spPr>
                </pic:pic>
              </a:graphicData>
            </a:graphic>
          </wp:inline>
        </w:drawing>
      </w:r>
    </w:p>
    <w:p>
      <w:pPr>
        <w:rPr>
          <w:highlight w:val="none"/>
        </w:rPr>
      </w:pPr>
      <w:r>
        <w:rPr>
          <w:highlight w:val="none"/>
        </w:rPr>
        <w:drawing>
          <wp:inline distT="0" distB="0" distL="114300" distR="114300">
            <wp:extent cx="2661920" cy="1684655"/>
            <wp:effectExtent l="0" t="0" r="5080" b="1079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cstate="print"/>
                    <a:stretch>
                      <a:fillRect/>
                    </a:stretch>
                  </pic:blipFill>
                  <pic:spPr>
                    <a:xfrm>
                      <a:off x="0" y="0"/>
                      <a:ext cx="2661920" cy="1684655"/>
                    </a:xfrm>
                    <a:prstGeom prst="rect">
                      <a:avLst/>
                    </a:prstGeom>
                    <a:noFill/>
                    <a:ln>
                      <a:noFill/>
                    </a:ln>
                  </pic:spPr>
                </pic:pic>
              </a:graphicData>
            </a:graphic>
          </wp:inline>
        </w:drawing>
      </w:r>
      <w:r>
        <w:rPr>
          <w:rFonts w:hint="eastAsia"/>
          <w:highlight w:val="none"/>
        </w:rPr>
        <w:t xml:space="preserve">   </w:t>
      </w:r>
      <w:r>
        <w:rPr>
          <w:highlight w:val="none"/>
        </w:rPr>
        <w:drawing>
          <wp:inline distT="0" distB="0" distL="114300" distR="114300">
            <wp:extent cx="1907540" cy="1966595"/>
            <wp:effectExtent l="0" t="0" r="16510"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cstate="print"/>
                    <a:stretch>
                      <a:fillRect/>
                    </a:stretch>
                  </pic:blipFill>
                  <pic:spPr>
                    <a:xfrm>
                      <a:off x="0" y="0"/>
                      <a:ext cx="1907540" cy="1966595"/>
                    </a:xfrm>
                    <a:prstGeom prst="rect">
                      <a:avLst/>
                    </a:prstGeom>
                    <a:noFill/>
                    <a:ln>
                      <a:noFill/>
                    </a:ln>
                  </pic:spPr>
                </pic:pic>
              </a:graphicData>
            </a:graphic>
          </wp:inline>
        </w:drawing>
      </w:r>
    </w:p>
    <w:p>
      <w:pPr>
        <w:rPr>
          <w:highlight w:val="none"/>
        </w:rPr>
      </w:pPr>
      <w:r>
        <w:rPr>
          <w:highlight w:val="none"/>
        </w:rPr>
        <w:drawing>
          <wp:inline distT="0" distB="0" distL="114300" distR="114300">
            <wp:extent cx="1852295" cy="1504950"/>
            <wp:effectExtent l="0" t="0" r="146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cstate="print"/>
                    <a:stretch>
                      <a:fillRect/>
                    </a:stretch>
                  </pic:blipFill>
                  <pic:spPr>
                    <a:xfrm>
                      <a:off x="0" y="0"/>
                      <a:ext cx="1852295" cy="1504950"/>
                    </a:xfrm>
                    <a:prstGeom prst="rect">
                      <a:avLst/>
                    </a:prstGeom>
                    <a:noFill/>
                    <a:ln>
                      <a:noFill/>
                    </a:ln>
                  </pic:spPr>
                </pic:pic>
              </a:graphicData>
            </a:graphic>
          </wp:inline>
        </w:drawing>
      </w:r>
      <w:r>
        <w:rPr>
          <w:rFonts w:hint="eastAsia"/>
          <w:highlight w:val="none"/>
        </w:rPr>
        <w:t xml:space="preserve">  </w:t>
      </w:r>
      <w:r>
        <w:rPr>
          <w:highlight w:val="none"/>
        </w:rPr>
        <w:drawing>
          <wp:inline distT="0" distB="0" distL="114300" distR="114300">
            <wp:extent cx="2826385" cy="1478915"/>
            <wp:effectExtent l="0" t="0" r="12065"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 cstate="print"/>
                    <a:stretch>
                      <a:fillRect/>
                    </a:stretch>
                  </pic:blipFill>
                  <pic:spPr>
                    <a:xfrm>
                      <a:off x="0" y="0"/>
                      <a:ext cx="2826385" cy="1478915"/>
                    </a:xfrm>
                    <a:prstGeom prst="rect">
                      <a:avLst/>
                    </a:prstGeom>
                    <a:noFill/>
                    <a:ln>
                      <a:noFill/>
                    </a:ln>
                  </pic:spPr>
                </pic:pic>
              </a:graphicData>
            </a:graphic>
          </wp:inline>
        </w:drawing>
      </w:r>
    </w:p>
    <w:p>
      <w:pPr>
        <w:spacing w:line="460" w:lineRule="exact"/>
        <w:jc w:val="center"/>
        <w:rPr>
          <w:rFonts w:ascii="黑体" w:hAnsi="黑体" w:eastAsia="黑体" w:cs="黑体"/>
          <w:szCs w:val="21"/>
          <w:highlight w:val="none"/>
        </w:rPr>
      </w:pPr>
      <w:r>
        <w:rPr>
          <w:rFonts w:hint="eastAsia" w:ascii="黑体" w:hAnsi="黑体" w:eastAsia="黑体" w:cs="黑体"/>
          <w:szCs w:val="21"/>
          <w:highlight w:val="none"/>
        </w:rPr>
        <w:t>图2 标准起草小组前往浙江对智能家具生产企业进行调研</w:t>
      </w:r>
    </w:p>
    <w:p>
      <w:pPr>
        <w:rPr>
          <w:highlight w:val="none"/>
        </w:rPr>
      </w:pPr>
    </w:p>
    <w:p>
      <w:pPr>
        <w:spacing w:line="460" w:lineRule="exact"/>
        <w:ind w:firstLine="480" w:firstLineChars="200"/>
        <w:rPr>
          <w:rFonts w:ascii="宋体" w:hAnsi="宋体"/>
          <w:sz w:val="24"/>
          <w:highlight w:val="none"/>
        </w:rPr>
      </w:pPr>
      <w:r>
        <w:rPr>
          <w:rFonts w:hint="eastAsia"/>
          <w:sz w:val="24"/>
          <w:highlight w:val="none"/>
        </w:rPr>
        <w:t>2022年8月完成了本标准项目研究技术路线确定，</w:t>
      </w:r>
      <w:r>
        <w:rPr>
          <w:rFonts w:hint="eastAsia" w:hAnsi="宋体"/>
          <w:sz w:val="24"/>
          <w:highlight w:val="none"/>
        </w:rPr>
        <w:t>形成了</w:t>
      </w:r>
      <w:r>
        <w:rPr>
          <w:rFonts w:hint="eastAsia"/>
          <w:sz w:val="24"/>
          <w:highlight w:val="none"/>
        </w:rPr>
        <w:t>《智能家具通用技术要求》标准草案。</w:t>
      </w:r>
    </w:p>
    <w:p>
      <w:pPr>
        <w:spacing w:beforeLines="50" w:afterLines="50" w:line="460" w:lineRule="exact"/>
        <w:outlineLvl w:val="0"/>
        <w:rPr>
          <w:rFonts w:ascii="黑体" w:hAnsi="宋体" w:eastAsia="黑体"/>
          <w:sz w:val="28"/>
          <w:szCs w:val="28"/>
          <w:highlight w:val="none"/>
        </w:rPr>
      </w:pPr>
      <w:r>
        <w:rPr>
          <w:rFonts w:hint="eastAsia" w:ascii="黑体" w:hAnsi="宋体" w:eastAsia="黑体"/>
          <w:sz w:val="28"/>
          <w:szCs w:val="28"/>
          <w:highlight w:val="none"/>
        </w:rPr>
        <w:t>1.2.3 形成标准征求意见稿</w:t>
      </w:r>
    </w:p>
    <w:p>
      <w:pPr>
        <w:spacing w:line="460" w:lineRule="exact"/>
        <w:ind w:firstLine="480" w:firstLineChars="200"/>
        <w:rPr>
          <w:rFonts w:ascii="宋体" w:hAnsi="宋体"/>
          <w:sz w:val="24"/>
          <w:highlight w:val="none"/>
        </w:rPr>
      </w:pPr>
      <w:r>
        <w:rPr>
          <w:rFonts w:hint="eastAsia" w:ascii="宋体" w:hAnsi="宋体"/>
          <w:sz w:val="24"/>
          <w:highlight w:val="none"/>
        </w:rPr>
        <w:t>2022年9月至10月，</w:t>
      </w:r>
      <w:r>
        <w:rPr>
          <w:rFonts w:hint="eastAsia"/>
          <w:sz w:val="24"/>
          <w:highlight w:val="none"/>
        </w:rPr>
        <w:t>标准起草小组根据标准制定的方案和相关资料，</w:t>
      </w:r>
      <w:r>
        <w:rPr>
          <w:rFonts w:hint="eastAsia" w:hAnsi="宋体"/>
          <w:sz w:val="24"/>
          <w:highlight w:val="none"/>
        </w:rPr>
        <w:t>针对标准技术要求及实验方法进行了深入的交流，结合大量的资料整理和数据，</w:t>
      </w:r>
      <w:r>
        <w:rPr>
          <w:rFonts w:hint="eastAsia" w:ascii="宋体" w:hAnsi="宋体"/>
          <w:sz w:val="24"/>
          <w:highlight w:val="none"/>
        </w:rPr>
        <w:t>分析、确定了相关技术要求，</w:t>
      </w:r>
      <w:r>
        <w:rPr>
          <w:rFonts w:hint="eastAsia" w:hAnsi="宋体"/>
          <w:sz w:val="24"/>
          <w:highlight w:val="none"/>
        </w:rPr>
        <w:t>并召开了2次起草小组内部讨论会及1次全体起草单位参加的研讨会，逐条讨论标准条款，</w:t>
      </w:r>
      <w:r>
        <w:rPr>
          <w:rFonts w:hint="eastAsia" w:ascii="宋体" w:hAnsi="宋体"/>
          <w:sz w:val="24"/>
          <w:highlight w:val="none"/>
        </w:rPr>
        <w:t>同时</w:t>
      </w:r>
      <w:r>
        <w:rPr>
          <w:rFonts w:hint="eastAsia"/>
          <w:sz w:val="24"/>
          <w:highlight w:val="none"/>
        </w:rPr>
        <w:t>进一步调整了标准中的检测方法，</w:t>
      </w:r>
      <w:r>
        <w:rPr>
          <w:rFonts w:hint="eastAsia" w:ascii="宋体" w:hAnsi="宋体"/>
          <w:sz w:val="24"/>
          <w:highlight w:val="none"/>
        </w:rPr>
        <w:t>形成</w:t>
      </w:r>
      <w:r>
        <w:rPr>
          <w:rFonts w:hint="eastAsia"/>
          <w:sz w:val="24"/>
          <w:highlight w:val="none"/>
        </w:rPr>
        <w:t>了本标准的征求意见稿及编制说明</w:t>
      </w:r>
      <w:r>
        <w:rPr>
          <w:rFonts w:hint="eastAsia" w:ascii="宋体" w:hAnsi="宋体"/>
          <w:sz w:val="24"/>
          <w:highlight w:val="none"/>
        </w:rPr>
        <w:t>。</w:t>
      </w:r>
    </w:p>
    <w:p>
      <w:pPr>
        <w:spacing w:line="360" w:lineRule="auto"/>
        <w:rPr>
          <w:rFonts w:ascii="宋体" w:hAnsi="宋体"/>
          <w:sz w:val="24"/>
          <w:highlight w:val="none"/>
        </w:rPr>
      </w:pPr>
      <w:r>
        <w:rPr>
          <w:rFonts w:ascii="宋体" w:hAnsi="宋体"/>
          <w:sz w:val="24"/>
          <w:highlight w:val="none"/>
        </w:rPr>
        <w:drawing>
          <wp:inline distT="0" distB="0" distL="0" distR="0">
            <wp:extent cx="2409825" cy="1927860"/>
            <wp:effectExtent l="19050" t="0" r="9525" b="0"/>
            <wp:docPr id="35" name="图片 2" descr="G:\工作\ff\8-标准\2020.7.15智能家具通用技术要求\2022.10.21标准研讨会-网络\会议截图\微信图片_20221021132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G:\工作\ff\8-标准\2020.7.15智能家具通用技术要求\2022.10.21标准研讨会-网络\会议截图\微信图片_20221021132744.png"/>
                    <pic:cNvPicPr>
                      <a:picLocks noChangeAspect="1" noChangeArrowheads="1"/>
                    </pic:cNvPicPr>
                  </pic:nvPicPr>
                  <pic:blipFill>
                    <a:blip r:embed="rId17" cstate="print"/>
                    <a:srcRect/>
                    <a:stretch>
                      <a:fillRect/>
                    </a:stretch>
                  </pic:blipFill>
                  <pic:spPr>
                    <a:xfrm>
                      <a:off x="0" y="0"/>
                      <a:ext cx="2421702" cy="1937363"/>
                    </a:xfrm>
                    <a:prstGeom prst="rect">
                      <a:avLst/>
                    </a:prstGeom>
                    <a:noFill/>
                    <a:ln w="9525">
                      <a:noFill/>
                      <a:miter lim="800000"/>
                      <a:headEnd/>
                      <a:tailEnd/>
                    </a:ln>
                  </pic:spPr>
                </pic:pic>
              </a:graphicData>
            </a:graphic>
          </wp:inline>
        </w:drawing>
      </w:r>
      <w:r>
        <w:rPr>
          <w:rFonts w:hint="eastAsia" w:ascii="宋体" w:hAnsi="宋体"/>
          <w:sz w:val="24"/>
          <w:highlight w:val="none"/>
        </w:rPr>
        <w:t xml:space="preserve">  </w:t>
      </w:r>
      <w:r>
        <w:rPr>
          <w:rFonts w:ascii="宋体" w:hAnsi="宋体"/>
          <w:sz w:val="24"/>
          <w:highlight w:val="none"/>
        </w:rPr>
        <w:drawing>
          <wp:inline distT="0" distB="0" distL="0" distR="0">
            <wp:extent cx="2416810" cy="1933575"/>
            <wp:effectExtent l="19050" t="0" r="2381" b="0"/>
            <wp:docPr id="34" name="图片 1" descr="G:\工作\ff\8-标准\2020.7.15智能家具通用技术要求\2022.10.21标准研讨会-网络\会议截图\微信图片_20221021132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G:\工作\ff\8-标准\2020.7.15智能家具通用技术要求\2022.10.21标准研讨会-网络\会议截图\微信图片_20221021132837.png"/>
                    <pic:cNvPicPr>
                      <a:picLocks noChangeAspect="1" noChangeArrowheads="1"/>
                    </pic:cNvPicPr>
                  </pic:nvPicPr>
                  <pic:blipFill>
                    <a:blip r:embed="rId18" cstate="print"/>
                    <a:srcRect/>
                    <a:stretch>
                      <a:fillRect/>
                    </a:stretch>
                  </pic:blipFill>
                  <pic:spPr>
                    <a:xfrm>
                      <a:off x="0" y="0"/>
                      <a:ext cx="2413869" cy="1931095"/>
                    </a:xfrm>
                    <a:prstGeom prst="rect">
                      <a:avLst/>
                    </a:prstGeom>
                    <a:noFill/>
                    <a:ln w="9525">
                      <a:noFill/>
                      <a:miter lim="800000"/>
                      <a:headEnd/>
                      <a:tailEnd/>
                    </a:ln>
                  </pic:spPr>
                </pic:pic>
              </a:graphicData>
            </a:graphic>
          </wp:inline>
        </w:drawing>
      </w:r>
    </w:p>
    <w:p>
      <w:pPr>
        <w:spacing w:line="460" w:lineRule="exact"/>
        <w:jc w:val="center"/>
        <w:rPr>
          <w:rFonts w:ascii="宋体" w:hAnsi="宋体"/>
          <w:sz w:val="24"/>
          <w:highlight w:val="none"/>
        </w:rPr>
      </w:pPr>
      <w:r>
        <w:rPr>
          <w:rFonts w:hint="eastAsia" w:ascii="黑体" w:hAnsi="黑体" w:eastAsia="黑体" w:cs="黑体"/>
          <w:szCs w:val="21"/>
          <w:highlight w:val="none"/>
        </w:rPr>
        <w:t>图3 2022年10月21日全体起草单位对标准文本进行内部研讨</w:t>
      </w:r>
    </w:p>
    <w:p>
      <w:pPr>
        <w:spacing w:beforeLines="50" w:afterLines="50" w:line="460" w:lineRule="exact"/>
        <w:outlineLvl w:val="0"/>
        <w:rPr>
          <w:rFonts w:ascii="黑体" w:hAnsi="宋体" w:eastAsia="黑体"/>
          <w:sz w:val="28"/>
          <w:szCs w:val="28"/>
          <w:highlight w:val="none"/>
        </w:rPr>
      </w:pPr>
      <w:r>
        <w:rPr>
          <w:rFonts w:hint="eastAsia" w:ascii="黑体" w:hAnsi="宋体" w:eastAsia="黑体"/>
          <w:sz w:val="28"/>
          <w:szCs w:val="28"/>
          <w:highlight w:val="none"/>
        </w:rPr>
        <w:t>1.2.4形成标准送审稿</w:t>
      </w:r>
    </w:p>
    <w:p>
      <w:pPr>
        <w:spacing w:line="460" w:lineRule="exact"/>
        <w:ind w:firstLine="480" w:firstLineChars="200"/>
        <w:rPr>
          <w:rFonts w:ascii="宋体" w:hAnsi="宋体"/>
          <w:sz w:val="24"/>
          <w:highlight w:val="none"/>
        </w:rPr>
      </w:pPr>
      <w:r>
        <w:rPr>
          <w:rFonts w:hint="eastAsia" w:ascii="宋体" w:hAnsi="宋体"/>
          <w:sz w:val="24"/>
          <w:highlight w:val="none"/>
        </w:rPr>
        <w:t>略。</w:t>
      </w:r>
    </w:p>
    <w:p>
      <w:pPr>
        <w:spacing w:beforeLines="50" w:afterLines="50" w:line="460" w:lineRule="exact"/>
        <w:outlineLvl w:val="0"/>
        <w:rPr>
          <w:rFonts w:ascii="黑体" w:hAnsi="宋体" w:eastAsia="黑体"/>
          <w:sz w:val="28"/>
          <w:szCs w:val="28"/>
          <w:highlight w:val="none"/>
        </w:rPr>
      </w:pPr>
      <w:r>
        <w:rPr>
          <w:rFonts w:hint="eastAsia" w:ascii="黑体" w:hAnsi="宋体" w:eastAsia="黑体"/>
          <w:sz w:val="28"/>
          <w:szCs w:val="28"/>
          <w:highlight w:val="none"/>
        </w:rPr>
        <w:t>1.2.5形成标准报批稿</w:t>
      </w:r>
    </w:p>
    <w:p>
      <w:pPr>
        <w:spacing w:line="460" w:lineRule="exact"/>
        <w:ind w:firstLine="480" w:firstLineChars="200"/>
        <w:rPr>
          <w:rFonts w:ascii="宋体" w:hAnsi="宋体"/>
          <w:sz w:val="24"/>
          <w:highlight w:val="none"/>
        </w:rPr>
      </w:pPr>
      <w:r>
        <w:rPr>
          <w:rFonts w:hint="eastAsia" w:ascii="宋体" w:hAnsi="宋体"/>
          <w:sz w:val="24"/>
          <w:highlight w:val="none"/>
        </w:rPr>
        <w:t>略。</w:t>
      </w:r>
    </w:p>
    <w:p>
      <w:pPr>
        <w:numPr>
          <w:ilvl w:val="1"/>
          <w:numId w:val="1"/>
        </w:numPr>
        <w:spacing w:beforeLines="50" w:afterLines="50" w:line="360" w:lineRule="exact"/>
        <w:rPr>
          <w:rFonts w:ascii="黑体" w:hAnsi="黑体" w:eastAsia="黑体"/>
          <w:bCs/>
          <w:sz w:val="28"/>
          <w:szCs w:val="28"/>
          <w:highlight w:val="none"/>
        </w:rPr>
      </w:pPr>
      <w:r>
        <w:rPr>
          <w:rFonts w:hint="eastAsia" w:ascii="黑体" w:hAnsi="黑体" w:eastAsia="黑体"/>
          <w:bCs/>
          <w:sz w:val="28"/>
          <w:szCs w:val="28"/>
          <w:highlight w:val="none"/>
        </w:rPr>
        <w:t>主要参加单位和工作组成员及其所做的工作</w:t>
      </w:r>
    </w:p>
    <w:p>
      <w:pPr>
        <w:spacing w:line="460" w:lineRule="exact"/>
        <w:outlineLvl w:val="0"/>
        <w:rPr>
          <w:rFonts w:ascii="黑体" w:hAnsi="宋体" w:eastAsia="黑体"/>
          <w:sz w:val="24"/>
          <w:highlight w:val="none"/>
        </w:rPr>
      </w:pPr>
      <w:r>
        <w:rPr>
          <w:rFonts w:hint="eastAsia" w:ascii="黑体" w:hAnsi="宋体" w:eastAsia="黑体"/>
          <w:sz w:val="24"/>
          <w:highlight w:val="none"/>
        </w:rPr>
        <w:t>1.3.1 主要参加单位</w:t>
      </w:r>
    </w:p>
    <w:p>
      <w:pPr>
        <w:spacing w:line="460" w:lineRule="exact"/>
        <w:ind w:firstLine="480" w:firstLineChars="200"/>
        <w:rPr>
          <w:rFonts w:ascii="宋体" w:hAnsi="宋体"/>
          <w:sz w:val="24"/>
          <w:highlight w:val="none"/>
        </w:rPr>
      </w:pPr>
      <w:r>
        <w:rPr>
          <w:rFonts w:hint="eastAsia" w:ascii="宋体" w:hAnsi="宋体"/>
          <w:sz w:val="24"/>
          <w:highlight w:val="none"/>
        </w:rPr>
        <w:t>本标准的主要起草单位有：XXXX等</w:t>
      </w:r>
      <w:r>
        <w:rPr>
          <w:rFonts w:hint="eastAsia" w:hAnsi="宋体"/>
          <w:snapToGrid w:val="0"/>
          <w:color w:val="000000"/>
          <w:kern w:val="0"/>
          <w:sz w:val="24"/>
          <w:highlight w:val="none"/>
        </w:rPr>
        <w:t>。</w:t>
      </w:r>
    </w:p>
    <w:p>
      <w:pPr>
        <w:spacing w:line="460" w:lineRule="exact"/>
        <w:rPr>
          <w:rFonts w:ascii="黑体" w:hAnsi="宋体" w:eastAsia="黑体"/>
          <w:sz w:val="24"/>
          <w:highlight w:val="none"/>
        </w:rPr>
      </w:pPr>
      <w:r>
        <w:rPr>
          <w:rFonts w:hint="eastAsia" w:ascii="黑体" w:hAnsi="宋体" w:eastAsia="黑体"/>
          <w:sz w:val="24"/>
          <w:highlight w:val="none"/>
        </w:rPr>
        <w:t>1.3.2 工作组成员及其所做的工作</w:t>
      </w:r>
    </w:p>
    <w:p>
      <w:pPr>
        <w:spacing w:line="360" w:lineRule="auto"/>
        <w:jc w:val="center"/>
        <w:rPr>
          <w:rFonts w:ascii="黑体" w:hAnsi="黑体" w:eastAsia="黑体" w:cs="黑体"/>
          <w:szCs w:val="21"/>
          <w:highlight w:val="none"/>
        </w:rPr>
      </w:pPr>
      <w:r>
        <w:rPr>
          <w:rFonts w:hint="eastAsia" w:ascii="黑体" w:hAnsi="黑体" w:eastAsia="黑体" w:cs="黑体"/>
          <w:szCs w:val="21"/>
          <w:highlight w:val="none"/>
        </w:rPr>
        <w:t>表1 工作组成员及其</w:t>
      </w:r>
      <w:r>
        <w:rPr>
          <w:rFonts w:hint="eastAsia" w:ascii="黑体" w:hAnsi="黑体" w:eastAsia="黑体" w:cs="黑体"/>
          <w:szCs w:val="21"/>
          <w:highlight w:val="none"/>
          <w:lang w:eastAsia="zh-CN"/>
        </w:rPr>
        <w:t>所做的</w:t>
      </w:r>
      <w:r>
        <w:rPr>
          <w:rFonts w:hint="eastAsia" w:ascii="黑体" w:hAnsi="黑体" w:eastAsia="黑体" w:cs="黑体"/>
          <w:szCs w:val="21"/>
          <w:highlight w:val="none"/>
        </w:rPr>
        <w:t>工作</w:t>
      </w:r>
    </w:p>
    <w:tbl>
      <w:tblPr>
        <w:tblStyle w:val="10"/>
        <w:tblW w:w="534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9"/>
        <w:gridCol w:w="3458"/>
        <w:gridCol w:w="4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vAlign w:val="center"/>
          </w:tcPr>
          <w:p>
            <w:pPr>
              <w:adjustRightInd w:val="0"/>
              <w:snapToGrid w:val="0"/>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成员</w:t>
            </w:r>
          </w:p>
        </w:tc>
        <w:tc>
          <w:tcPr>
            <w:tcW w:w="1895" w:type="pct"/>
            <w:vAlign w:val="center"/>
          </w:tcPr>
          <w:p>
            <w:pPr>
              <w:adjustRightInd w:val="0"/>
              <w:snapToGrid w:val="0"/>
              <w:jc w:val="center"/>
              <w:rPr>
                <w:rFonts w:ascii="宋体" w:hAnsi="宋体"/>
                <w:szCs w:val="21"/>
                <w:highlight w:val="none"/>
              </w:rPr>
            </w:pPr>
            <w:r>
              <w:rPr>
                <w:rFonts w:hint="eastAsia" w:ascii="宋体" w:hAnsi="宋体"/>
                <w:szCs w:val="21"/>
                <w:highlight w:val="none"/>
              </w:rPr>
              <w:t>单位</w:t>
            </w:r>
          </w:p>
        </w:tc>
        <w:tc>
          <w:tcPr>
            <w:tcW w:w="2550" w:type="pct"/>
            <w:vAlign w:val="center"/>
          </w:tcPr>
          <w:p>
            <w:pPr>
              <w:adjustRightInd w:val="0"/>
              <w:snapToGrid w:val="0"/>
              <w:jc w:val="center"/>
              <w:rPr>
                <w:rFonts w:ascii="宋体" w:hAnsi="宋体"/>
                <w:szCs w:val="21"/>
                <w:highlight w:val="none"/>
              </w:rPr>
            </w:pPr>
            <w:r>
              <w:rPr>
                <w:rFonts w:hint="eastAsia" w:ascii="宋体" w:hAnsi="宋体"/>
                <w:szCs w:val="21"/>
                <w:highlight w:val="none"/>
              </w:rPr>
              <w:t>主要工作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3" w:type="pct"/>
            <w:vAlign w:val="center"/>
          </w:tcPr>
          <w:p>
            <w:pPr>
              <w:adjustRightInd w:val="0"/>
              <w:snapToGrid w:val="0"/>
              <w:jc w:val="center"/>
              <w:rPr>
                <w:rFonts w:ascii="宋体" w:hAnsi="宋体"/>
                <w:szCs w:val="21"/>
                <w:highlight w:val="none"/>
              </w:rPr>
            </w:pPr>
            <w:r>
              <w:rPr>
                <w:rFonts w:hint="eastAsia" w:ascii="宋体" w:hAnsi="宋体"/>
                <w:szCs w:val="21"/>
                <w:highlight w:val="none"/>
              </w:rPr>
              <w:t>孙书冬</w:t>
            </w:r>
          </w:p>
        </w:tc>
        <w:tc>
          <w:tcPr>
            <w:tcW w:w="1895" w:type="pct"/>
            <w:vAlign w:val="center"/>
          </w:tcPr>
          <w:p>
            <w:pPr>
              <w:adjustRightInd w:val="0"/>
              <w:snapToGrid w:val="0"/>
              <w:jc w:val="center"/>
              <w:rPr>
                <w:rFonts w:ascii="宋体" w:hAnsi="宋体"/>
                <w:szCs w:val="21"/>
                <w:highlight w:val="none"/>
              </w:rPr>
            </w:pPr>
            <w:r>
              <w:rPr>
                <w:rFonts w:hint="eastAsia" w:ascii="宋体" w:hAnsi="宋体" w:cs="黑体"/>
                <w:color w:val="000000"/>
                <w:kern w:val="0"/>
                <w:szCs w:val="21"/>
                <w:highlight w:val="none"/>
              </w:rPr>
              <w:t>北京市产品质量监督检验研究院（国家家具及室内环境质量检验检测中心）</w:t>
            </w:r>
          </w:p>
        </w:tc>
        <w:tc>
          <w:tcPr>
            <w:tcW w:w="2550" w:type="pct"/>
            <w:vAlign w:val="center"/>
          </w:tcPr>
          <w:p>
            <w:pPr>
              <w:adjustRightInd w:val="0"/>
              <w:snapToGrid w:val="0"/>
              <w:jc w:val="center"/>
              <w:rPr>
                <w:rFonts w:ascii="宋体" w:hAnsi="宋体"/>
                <w:szCs w:val="21"/>
                <w:highlight w:val="none"/>
              </w:rPr>
            </w:pPr>
            <w:r>
              <w:rPr>
                <w:rFonts w:hint="eastAsia" w:ascii="宋体" w:hAnsi="宋体"/>
                <w:szCs w:val="21"/>
                <w:highlight w:val="none"/>
              </w:rPr>
              <w:t>全面负责标准项目总体制定方案、计划制定和组织协调等工作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vAlign w:val="center"/>
          </w:tcPr>
          <w:p>
            <w:pPr>
              <w:adjustRightInd w:val="0"/>
              <w:snapToGrid w:val="0"/>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屠家会</w:t>
            </w:r>
          </w:p>
        </w:tc>
        <w:tc>
          <w:tcPr>
            <w:tcW w:w="1895" w:type="pct"/>
            <w:vAlign w:val="center"/>
          </w:tcPr>
          <w:p>
            <w:pPr>
              <w:adjustRightInd w:val="0"/>
              <w:snapToGrid w:val="0"/>
              <w:jc w:val="center"/>
              <w:rPr>
                <w:rFonts w:hint="default" w:eastAsia="宋体"/>
                <w:szCs w:val="21"/>
                <w:highlight w:val="none"/>
                <w:lang w:val="en-US" w:eastAsia="zh-CN"/>
              </w:rPr>
            </w:pPr>
            <w:r>
              <w:rPr>
                <w:rFonts w:hint="eastAsia"/>
                <w:szCs w:val="21"/>
                <w:highlight w:val="none"/>
                <w:lang w:val="en-US" w:eastAsia="zh-CN"/>
              </w:rPr>
              <w:t>顾家家居股份有限公司</w:t>
            </w:r>
          </w:p>
        </w:tc>
        <w:tc>
          <w:tcPr>
            <w:tcW w:w="2550" w:type="pct"/>
            <w:vAlign w:val="center"/>
          </w:tcPr>
          <w:p>
            <w:pPr>
              <w:adjustRightInd w:val="0"/>
              <w:snapToGrid w:val="0"/>
              <w:jc w:val="center"/>
              <w:rPr>
                <w:rFonts w:ascii="宋体" w:hAnsi="宋体"/>
                <w:szCs w:val="21"/>
                <w:highlight w:val="none"/>
              </w:rPr>
            </w:pPr>
            <w:r>
              <w:rPr>
                <w:rFonts w:hint="eastAsia" w:ascii="宋体" w:hAnsi="宋体"/>
                <w:szCs w:val="21"/>
                <w:highlight w:val="none"/>
              </w:rPr>
              <w:t>参与收集资料、制定方案、验证试验、标准编制等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3" w:type="pct"/>
            <w:vAlign w:val="center"/>
          </w:tcPr>
          <w:p>
            <w:pPr>
              <w:adjustRightInd w:val="0"/>
              <w:snapToGrid w:val="0"/>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徐总</w:t>
            </w:r>
          </w:p>
        </w:tc>
        <w:tc>
          <w:tcPr>
            <w:tcW w:w="1895" w:type="pct"/>
            <w:vAlign w:val="center"/>
          </w:tcPr>
          <w:p>
            <w:pPr>
              <w:adjustRightInd w:val="0"/>
              <w:snapToGrid w:val="0"/>
              <w:jc w:val="center"/>
              <w:rPr>
                <w:szCs w:val="21"/>
                <w:highlight w:val="none"/>
              </w:rPr>
            </w:pPr>
            <w:r>
              <w:rPr>
                <w:rFonts w:hint="eastAsia"/>
                <w:szCs w:val="21"/>
                <w:highlight w:val="none"/>
              </w:rPr>
              <w:t>麒盛科技股份有限公司</w:t>
            </w:r>
          </w:p>
        </w:tc>
        <w:tc>
          <w:tcPr>
            <w:tcW w:w="2550" w:type="pct"/>
            <w:vAlign w:val="center"/>
          </w:tcPr>
          <w:p>
            <w:pPr>
              <w:adjustRightInd w:val="0"/>
              <w:snapToGrid w:val="0"/>
              <w:jc w:val="center"/>
              <w:rPr>
                <w:rFonts w:ascii="宋体" w:hAnsi="宋体"/>
                <w:szCs w:val="21"/>
                <w:highlight w:val="none"/>
              </w:rPr>
            </w:pPr>
            <w:r>
              <w:rPr>
                <w:rFonts w:hint="eastAsia" w:ascii="宋体" w:hAnsi="宋体"/>
                <w:szCs w:val="21"/>
                <w:highlight w:val="none"/>
              </w:rPr>
              <w:t>参与标准的</w:t>
            </w:r>
            <w:r>
              <w:rPr>
                <w:rFonts w:hint="eastAsia" w:ascii="宋体" w:hAnsi="宋体"/>
                <w:szCs w:val="21"/>
                <w:highlight w:val="none"/>
                <w:lang w:val="en-US" w:eastAsia="zh-CN"/>
              </w:rPr>
              <w:t>编制、</w:t>
            </w:r>
            <w:r>
              <w:rPr>
                <w:rFonts w:hint="eastAsia" w:ascii="宋体" w:hAnsi="宋体"/>
                <w:szCs w:val="21"/>
                <w:highlight w:val="none"/>
              </w:rPr>
              <w:t>验证试验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3" w:type="pct"/>
            <w:vAlign w:val="center"/>
          </w:tcPr>
          <w:p>
            <w:pPr>
              <w:adjustRightInd w:val="0"/>
              <w:snapToGrid w:val="0"/>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孙燕曲</w:t>
            </w:r>
          </w:p>
        </w:tc>
        <w:tc>
          <w:tcPr>
            <w:tcW w:w="1895" w:type="pct"/>
            <w:vAlign w:val="center"/>
          </w:tcPr>
          <w:p>
            <w:pPr>
              <w:adjustRightInd w:val="0"/>
              <w:snapToGrid w:val="0"/>
              <w:jc w:val="center"/>
              <w:rPr>
                <w:rFonts w:hint="eastAsia"/>
                <w:szCs w:val="21"/>
                <w:highlight w:val="none"/>
              </w:rPr>
            </w:pPr>
            <w:r>
              <w:rPr>
                <w:rFonts w:hint="eastAsia"/>
                <w:szCs w:val="21"/>
                <w:highlight w:val="none"/>
              </w:rPr>
              <w:t>科勒（中国）投资有限公司</w:t>
            </w:r>
          </w:p>
        </w:tc>
        <w:tc>
          <w:tcPr>
            <w:tcW w:w="2550" w:type="pct"/>
            <w:vAlign w:val="center"/>
          </w:tcPr>
          <w:p>
            <w:pPr>
              <w:adjustRightInd w:val="0"/>
              <w:snapToGrid w:val="0"/>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参与标准编制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3" w:type="pct"/>
            <w:vAlign w:val="center"/>
          </w:tcPr>
          <w:p>
            <w:pPr>
              <w:adjustRightInd w:val="0"/>
              <w:snapToGrid w:val="0"/>
              <w:jc w:val="center"/>
              <w:rPr>
                <w:rFonts w:ascii="宋体" w:hAnsi="宋体"/>
                <w:szCs w:val="21"/>
                <w:highlight w:val="none"/>
              </w:rPr>
            </w:pPr>
            <w:r>
              <w:rPr>
                <w:rFonts w:hint="eastAsia" w:ascii="宋体" w:hAnsi="宋体"/>
                <w:szCs w:val="21"/>
                <w:highlight w:val="none"/>
                <w:lang w:val="en-US" w:eastAsia="zh-CN"/>
              </w:rPr>
              <w:t>......</w:t>
            </w:r>
          </w:p>
        </w:tc>
        <w:tc>
          <w:tcPr>
            <w:tcW w:w="1895" w:type="pct"/>
            <w:vAlign w:val="center"/>
          </w:tcPr>
          <w:p>
            <w:pPr>
              <w:adjustRightInd w:val="0"/>
              <w:snapToGrid w:val="0"/>
              <w:jc w:val="center"/>
              <w:rPr>
                <w:rFonts w:hint="default" w:eastAsia="宋体"/>
                <w:szCs w:val="21"/>
                <w:highlight w:val="none"/>
                <w:lang w:val="en-US" w:eastAsia="zh-CN"/>
              </w:rPr>
            </w:pPr>
            <w:r>
              <w:rPr>
                <w:rFonts w:hint="eastAsia" w:ascii="宋体" w:hAnsi="宋体"/>
                <w:szCs w:val="21"/>
                <w:highlight w:val="none"/>
                <w:lang w:val="en-US" w:eastAsia="zh-CN"/>
              </w:rPr>
              <w:t>......</w:t>
            </w:r>
          </w:p>
        </w:tc>
        <w:tc>
          <w:tcPr>
            <w:tcW w:w="2550" w:type="pct"/>
            <w:vAlign w:val="center"/>
          </w:tcPr>
          <w:p>
            <w:pPr>
              <w:adjustRightInd w:val="0"/>
              <w:snapToGrid w:val="0"/>
              <w:jc w:val="center"/>
              <w:rPr>
                <w:rFonts w:hint="eastAsia" w:ascii="宋体" w:hAnsi="宋体"/>
                <w:szCs w:val="21"/>
                <w:highlight w:val="none"/>
              </w:rPr>
            </w:pPr>
            <w:r>
              <w:rPr>
                <w:rFonts w:hint="eastAsia" w:ascii="宋体" w:hAnsi="宋体"/>
                <w:szCs w:val="21"/>
                <w:highlight w:val="none"/>
                <w:lang w:val="en-US" w:eastAsia="zh-CN"/>
              </w:rPr>
              <w:t>......</w:t>
            </w:r>
          </w:p>
        </w:tc>
      </w:tr>
    </w:tbl>
    <w:p>
      <w:pPr>
        <w:pStyle w:val="3"/>
        <w:rPr>
          <w:rFonts w:ascii="黑体" w:hAnsi="黑体" w:cs="黑体"/>
          <w:b w:val="0"/>
          <w:bCs w:val="0"/>
          <w:sz w:val="28"/>
          <w:szCs w:val="28"/>
          <w:highlight w:val="none"/>
        </w:rPr>
      </w:pPr>
      <w:r>
        <w:rPr>
          <w:rFonts w:hint="eastAsia" w:ascii="黑体" w:hAnsi="黑体" w:cs="黑体"/>
          <w:b w:val="0"/>
          <w:bCs w:val="0"/>
          <w:sz w:val="28"/>
          <w:szCs w:val="28"/>
          <w:highlight w:val="none"/>
        </w:rPr>
        <w:t>2 标准编制原则和主要内容（如技术指标、参数、公式、性能要求、试验方法、检验规则等）的论据，解决的主要问题。修订标准时应列出与原标准的主要差异和水平对比</w:t>
      </w:r>
    </w:p>
    <w:p>
      <w:pPr>
        <w:spacing w:beforeLines="50" w:afterLines="50" w:line="360" w:lineRule="exact"/>
        <w:rPr>
          <w:sz w:val="24"/>
          <w:highlight w:val="none"/>
        </w:rPr>
      </w:pPr>
      <w:r>
        <w:rPr>
          <w:rFonts w:hint="eastAsia" w:ascii="黑体" w:hAnsi="黑体" w:eastAsia="黑体"/>
          <w:sz w:val="28"/>
          <w:szCs w:val="28"/>
          <w:highlight w:val="none"/>
        </w:rPr>
        <w:t xml:space="preserve">2.1 </w:t>
      </w:r>
      <w:r>
        <w:rPr>
          <w:rFonts w:ascii="黑体" w:hAnsi="黑体" w:eastAsia="黑体"/>
          <w:sz w:val="28"/>
          <w:szCs w:val="28"/>
          <w:highlight w:val="none"/>
        </w:rPr>
        <w:t>标准</w:t>
      </w:r>
      <w:r>
        <w:rPr>
          <w:rFonts w:hint="eastAsia" w:ascii="黑体" w:hAnsi="黑体" w:eastAsia="黑体"/>
          <w:sz w:val="28"/>
          <w:szCs w:val="28"/>
          <w:highlight w:val="none"/>
        </w:rPr>
        <w:t>的</w:t>
      </w:r>
      <w:r>
        <w:rPr>
          <w:rFonts w:ascii="黑体" w:hAnsi="黑体" w:eastAsia="黑体"/>
          <w:sz w:val="28"/>
          <w:szCs w:val="28"/>
          <w:highlight w:val="none"/>
        </w:rPr>
        <w:t>编制原则</w:t>
      </w:r>
    </w:p>
    <w:p>
      <w:pPr>
        <w:spacing w:line="360" w:lineRule="auto"/>
        <w:ind w:firstLine="480" w:firstLineChars="200"/>
        <w:rPr>
          <w:rFonts w:hAnsi="宋体"/>
          <w:sz w:val="24"/>
          <w:highlight w:val="none"/>
        </w:rPr>
      </w:pPr>
      <w:r>
        <w:rPr>
          <w:rFonts w:hint="eastAsia" w:hAnsi="宋体"/>
          <w:sz w:val="24"/>
          <w:highlight w:val="none"/>
        </w:rPr>
        <w:t>《智能家具通用技术要求》</w:t>
      </w:r>
      <w:r>
        <w:rPr>
          <w:rFonts w:hAnsi="宋体"/>
          <w:sz w:val="24"/>
          <w:highlight w:val="none"/>
        </w:rPr>
        <w:t>标准在制定工作中，标准起草小组本着科学性、</w:t>
      </w:r>
      <w:r>
        <w:rPr>
          <w:rFonts w:hint="eastAsia" w:hAnsi="宋体"/>
          <w:sz w:val="24"/>
          <w:highlight w:val="none"/>
        </w:rPr>
        <w:t>完整性、</w:t>
      </w:r>
      <w:r>
        <w:rPr>
          <w:rFonts w:hAnsi="宋体"/>
          <w:sz w:val="24"/>
          <w:highlight w:val="none"/>
        </w:rPr>
        <w:t>适用性、先进性</w:t>
      </w:r>
      <w:r>
        <w:rPr>
          <w:rFonts w:hint="eastAsia" w:hAnsi="宋体"/>
          <w:sz w:val="24"/>
          <w:highlight w:val="none"/>
        </w:rPr>
        <w:t>4</w:t>
      </w:r>
      <w:r>
        <w:rPr>
          <w:rFonts w:hAnsi="宋体"/>
          <w:sz w:val="24"/>
          <w:highlight w:val="none"/>
        </w:rPr>
        <w:t>个原则来</w:t>
      </w:r>
      <w:r>
        <w:rPr>
          <w:rFonts w:hint="eastAsia" w:hAnsi="宋体"/>
          <w:sz w:val="24"/>
          <w:highlight w:val="none"/>
        </w:rPr>
        <w:t>编写</w:t>
      </w:r>
      <w:r>
        <w:rPr>
          <w:rFonts w:hAnsi="宋体"/>
          <w:sz w:val="24"/>
          <w:highlight w:val="none"/>
        </w:rPr>
        <w:t>，旨在能完善现有标准、引导行业生产、解决产品问题。</w:t>
      </w:r>
    </w:p>
    <w:p>
      <w:pPr>
        <w:spacing w:beforeLines="50" w:afterLines="50" w:line="460" w:lineRule="exact"/>
        <w:outlineLvl w:val="0"/>
        <w:rPr>
          <w:rFonts w:ascii="黑体" w:hAnsi="宋体" w:eastAsia="黑体"/>
          <w:sz w:val="24"/>
          <w:highlight w:val="none"/>
        </w:rPr>
      </w:pPr>
      <w:r>
        <w:rPr>
          <w:rFonts w:hint="eastAsia" w:ascii="黑体" w:hAnsi="宋体" w:eastAsia="黑体"/>
          <w:sz w:val="24"/>
          <w:highlight w:val="none"/>
        </w:rPr>
        <w:t>2.1.1 科学性</w:t>
      </w:r>
    </w:p>
    <w:p>
      <w:pPr>
        <w:spacing w:line="460" w:lineRule="exact"/>
        <w:ind w:firstLine="480" w:firstLineChars="200"/>
        <w:rPr>
          <w:rFonts w:ascii="宋体" w:hAnsi="宋体"/>
          <w:sz w:val="24"/>
          <w:highlight w:val="none"/>
        </w:rPr>
      </w:pPr>
      <w:r>
        <w:rPr>
          <w:rFonts w:hint="eastAsia" w:hAnsi="宋体"/>
          <w:sz w:val="24"/>
          <w:highlight w:val="none"/>
        </w:rPr>
        <w:t>本标准的制订重点关注智能家具领域的特征性，</w:t>
      </w:r>
      <w:r>
        <w:rPr>
          <w:rFonts w:hAnsi="宋体"/>
          <w:sz w:val="24"/>
          <w:highlight w:val="none"/>
        </w:rPr>
        <w:t>标准制定前，标准起草小组首先搜集</w:t>
      </w:r>
      <w:r>
        <w:rPr>
          <w:rFonts w:hint="eastAsia" w:hAnsi="宋体"/>
          <w:sz w:val="24"/>
          <w:highlight w:val="none"/>
        </w:rPr>
        <w:t>了</w:t>
      </w:r>
      <w:r>
        <w:rPr>
          <w:rFonts w:hAnsi="宋体"/>
          <w:sz w:val="24"/>
          <w:highlight w:val="none"/>
        </w:rPr>
        <w:t>国内外</w:t>
      </w:r>
      <w:r>
        <w:rPr>
          <w:rFonts w:hint="eastAsia" w:hAnsi="宋体"/>
          <w:sz w:val="24"/>
          <w:highlight w:val="none"/>
        </w:rPr>
        <w:t>相关从产品标准、材料标准和安全指标在国内外的关注方向，</w:t>
      </w:r>
      <w:r>
        <w:rPr>
          <w:rFonts w:hAnsi="宋体"/>
          <w:sz w:val="24"/>
          <w:highlight w:val="none"/>
        </w:rPr>
        <w:t>调查</w:t>
      </w:r>
      <w:r>
        <w:rPr>
          <w:rFonts w:hint="eastAsia" w:hAnsi="宋体"/>
          <w:sz w:val="24"/>
          <w:highlight w:val="none"/>
        </w:rPr>
        <w:t>了历年的智能家具产品相关的</w:t>
      </w:r>
      <w:r>
        <w:rPr>
          <w:rFonts w:hAnsi="宋体"/>
          <w:sz w:val="24"/>
          <w:highlight w:val="none"/>
        </w:rPr>
        <w:t>检测数据</w:t>
      </w:r>
      <w:r>
        <w:rPr>
          <w:rFonts w:hint="eastAsia" w:hAnsi="宋体"/>
          <w:sz w:val="24"/>
          <w:highlight w:val="none"/>
        </w:rPr>
        <w:t>，</w:t>
      </w:r>
      <w:r>
        <w:rPr>
          <w:rFonts w:hAnsi="宋体"/>
          <w:sz w:val="24"/>
          <w:highlight w:val="none"/>
        </w:rPr>
        <w:t>掌握了大量</w:t>
      </w:r>
      <w:r>
        <w:rPr>
          <w:rFonts w:hint="eastAsia" w:hAnsi="宋体"/>
          <w:sz w:val="24"/>
          <w:highlight w:val="none"/>
        </w:rPr>
        <w:t>可靠的</w:t>
      </w:r>
      <w:r>
        <w:rPr>
          <w:rFonts w:hAnsi="宋体"/>
          <w:sz w:val="24"/>
          <w:highlight w:val="none"/>
        </w:rPr>
        <w:t>资料。制定过程中，</w:t>
      </w:r>
      <w:r>
        <w:rPr>
          <w:rFonts w:hint="eastAsia" w:hAnsi="宋体"/>
          <w:sz w:val="24"/>
          <w:highlight w:val="none"/>
        </w:rPr>
        <w:t>时刻关注国内外智能家具产品相关标准制订情况，适时调整和完善标准的适用范围和测试方法的筛选，在借鉴国外先进标准的基础上，根据智能家具产品的特点，进行了适当的改进，并进行了多次验证实验，确保标准试验方法的可行性和可靠性，保障了标准的科学性要求。</w:t>
      </w:r>
    </w:p>
    <w:p>
      <w:pPr>
        <w:spacing w:beforeLines="50" w:afterLines="50" w:line="460" w:lineRule="exact"/>
        <w:outlineLvl w:val="0"/>
        <w:rPr>
          <w:rFonts w:ascii="黑体" w:hAnsi="宋体" w:eastAsia="黑体"/>
          <w:sz w:val="24"/>
          <w:highlight w:val="none"/>
        </w:rPr>
      </w:pPr>
      <w:r>
        <w:rPr>
          <w:rFonts w:hint="eastAsia" w:ascii="黑体" w:hAnsi="宋体" w:eastAsia="黑体"/>
          <w:sz w:val="24"/>
          <w:highlight w:val="none"/>
        </w:rPr>
        <w:t>2.1.2 完整性</w:t>
      </w:r>
    </w:p>
    <w:p>
      <w:pPr>
        <w:spacing w:line="360" w:lineRule="auto"/>
        <w:ind w:firstLine="480" w:firstLineChars="200"/>
        <w:rPr>
          <w:rFonts w:hAnsi="宋体"/>
          <w:sz w:val="24"/>
          <w:highlight w:val="none"/>
        </w:rPr>
      </w:pPr>
      <w:r>
        <w:rPr>
          <w:rFonts w:hint="eastAsia" w:hAnsi="宋体"/>
          <w:sz w:val="24"/>
          <w:highlight w:val="none"/>
        </w:rPr>
        <w:t>针对有关智能家具通用技术条件标准的技术要求，</w:t>
      </w:r>
      <w:r>
        <w:rPr>
          <w:rFonts w:hAnsi="宋体"/>
          <w:sz w:val="24"/>
          <w:highlight w:val="none"/>
        </w:rPr>
        <w:t>标准起草小组</w:t>
      </w:r>
      <w:r>
        <w:rPr>
          <w:rFonts w:hint="eastAsia" w:hAnsi="宋体"/>
          <w:sz w:val="24"/>
          <w:highlight w:val="none"/>
        </w:rPr>
        <w:t>与相关产品标准起草单位进行了广泛的技术交流和合作，根据智能家具制造和信息安全重点关注的参数，最终确定了本标准的适用范围，涵盖了传统家具的质量要求和智能化部件的质量要求和安全要求，</w:t>
      </w:r>
      <w:r>
        <w:rPr>
          <w:rFonts w:hAnsi="宋体"/>
          <w:sz w:val="24"/>
          <w:highlight w:val="none"/>
        </w:rPr>
        <w:t>使</w:t>
      </w:r>
      <w:r>
        <w:rPr>
          <w:rFonts w:hint="eastAsia" w:hAnsi="宋体"/>
          <w:sz w:val="24"/>
          <w:highlight w:val="none"/>
        </w:rPr>
        <w:t>《智能家具通用技术要求》</w:t>
      </w:r>
      <w:r>
        <w:rPr>
          <w:rFonts w:hAnsi="宋体"/>
          <w:sz w:val="24"/>
          <w:highlight w:val="none"/>
        </w:rPr>
        <w:t>具备完整性。</w:t>
      </w:r>
    </w:p>
    <w:p>
      <w:pPr>
        <w:spacing w:beforeLines="50" w:afterLines="50" w:line="460" w:lineRule="exact"/>
        <w:outlineLvl w:val="0"/>
        <w:rPr>
          <w:rFonts w:ascii="黑体" w:hAnsi="宋体" w:eastAsia="黑体"/>
          <w:sz w:val="24"/>
          <w:highlight w:val="none"/>
        </w:rPr>
      </w:pPr>
      <w:r>
        <w:rPr>
          <w:rFonts w:hint="eastAsia" w:ascii="黑体" w:hAnsi="宋体" w:eastAsia="黑体"/>
          <w:sz w:val="24"/>
          <w:highlight w:val="none"/>
        </w:rPr>
        <w:t>2.1.3 规范性</w:t>
      </w:r>
    </w:p>
    <w:p>
      <w:pPr>
        <w:spacing w:line="360" w:lineRule="auto"/>
        <w:ind w:firstLine="480" w:firstLineChars="200"/>
        <w:rPr>
          <w:sz w:val="24"/>
          <w:highlight w:val="none"/>
        </w:rPr>
      </w:pPr>
      <w:r>
        <w:rPr>
          <w:rFonts w:hint="eastAsia" w:hAnsi="宋体"/>
          <w:sz w:val="24"/>
          <w:highlight w:val="none"/>
        </w:rPr>
        <w:t>标准按照GB/T 1.1—2020《标准化工作导则 第1部分：标准化文件的结构和起草规则》给出的规则起草。</w:t>
      </w:r>
      <w:r>
        <w:rPr>
          <w:rFonts w:hAnsi="宋体"/>
          <w:sz w:val="24"/>
          <w:highlight w:val="none"/>
        </w:rPr>
        <w:t>标准</w:t>
      </w:r>
      <w:r>
        <w:rPr>
          <w:rFonts w:hint="eastAsia" w:hAnsi="宋体"/>
          <w:sz w:val="24"/>
          <w:highlight w:val="none"/>
        </w:rPr>
        <w:t>起草小组对所编写内容，</w:t>
      </w:r>
      <w:r>
        <w:rPr>
          <w:rFonts w:hAnsi="宋体"/>
          <w:sz w:val="24"/>
          <w:highlight w:val="none"/>
        </w:rPr>
        <w:t>与</w:t>
      </w:r>
      <w:r>
        <w:rPr>
          <w:rFonts w:hint="eastAsia" w:hAnsi="宋体"/>
          <w:sz w:val="24"/>
          <w:highlight w:val="none"/>
        </w:rPr>
        <w:t>现行智能电器、电动家具产品的国标、行标及团标进行了对照，并与标准制修订单位相互交换意见及建议，</w:t>
      </w:r>
      <w:r>
        <w:rPr>
          <w:rFonts w:hAnsi="宋体"/>
          <w:sz w:val="24"/>
          <w:highlight w:val="none"/>
        </w:rPr>
        <w:t>探讨</w:t>
      </w:r>
      <w:r>
        <w:rPr>
          <w:rFonts w:hint="eastAsia" w:hAnsi="宋体"/>
          <w:sz w:val="24"/>
          <w:highlight w:val="none"/>
        </w:rPr>
        <w:t>标准内容的可行性</w:t>
      </w:r>
      <w:r>
        <w:rPr>
          <w:rFonts w:hAnsi="宋体"/>
          <w:sz w:val="24"/>
          <w:highlight w:val="none"/>
        </w:rPr>
        <w:t>，确保标准要求可以有效</w:t>
      </w:r>
      <w:r>
        <w:rPr>
          <w:rFonts w:hint="eastAsia" w:hAnsi="宋体"/>
          <w:sz w:val="24"/>
          <w:highlight w:val="none"/>
        </w:rPr>
        <w:t>适用于</w:t>
      </w:r>
      <w:r>
        <w:rPr>
          <w:rFonts w:hAnsi="宋体"/>
          <w:sz w:val="24"/>
          <w:highlight w:val="none"/>
        </w:rPr>
        <w:t>我国现有</w:t>
      </w:r>
      <w:r>
        <w:rPr>
          <w:rFonts w:hint="eastAsia" w:hAnsi="宋体"/>
          <w:sz w:val="24"/>
          <w:highlight w:val="none"/>
        </w:rPr>
        <w:t>智能家具相关技术指标的检测需要。</w:t>
      </w:r>
    </w:p>
    <w:p>
      <w:pPr>
        <w:spacing w:beforeLines="50" w:afterLines="50" w:line="460" w:lineRule="exact"/>
        <w:outlineLvl w:val="0"/>
        <w:rPr>
          <w:rFonts w:ascii="黑体" w:hAnsi="宋体" w:eastAsia="黑体"/>
          <w:sz w:val="24"/>
          <w:highlight w:val="none"/>
        </w:rPr>
      </w:pPr>
      <w:r>
        <w:rPr>
          <w:rFonts w:hint="eastAsia" w:ascii="黑体" w:hAnsi="宋体" w:eastAsia="黑体"/>
          <w:sz w:val="24"/>
          <w:highlight w:val="none"/>
        </w:rPr>
        <w:t>2.1.4 先进性</w:t>
      </w:r>
    </w:p>
    <w:p>
      <w:pPr>
        <w:spacing w:line="360" w:lineRule="auto"/>
        <w:ind w:firstLine="480" w:firstLineChars="200"/>
        <w:rPr>
          <w:sz w:val="24"/>
          <w:highlight w:val="none"/>
        </w:rPr>
      </w:pPr>
      <w:r>
        <w:rPr>
          <w:rFonts w:hAnsi="宋体"/>
          <w:sz w:val="24"/>
          <w:highlight w:val="none"/>
        </w:rPr>
        <w:t>标准制定过程中标准起草小组查阅了国际国内各方对于相关</w:t>
      </w:r>
      <w:r>
        <w:rPr>
          <w:rFonts w:hint="eastAsia" w:hAnsi="宋体"/>
          <w:sz w:val="24"/>
          <w:highlight w:val="none"/>
        </w:rPr>
        <w:t>法律法规、标准资料、科研</w:t>
      </w:r>
      <w:r>
        <w:rPr>
          <w:rFonts w:hAnsi="宋体"/>
          <w:sz w:val="24"/>
          <w:highlight w:val="none"/>
        </w:rPr>
        <w:t>论文。并在制定过程中多次与国内同行进行了咨询和</w:t>
      </w:r>
      <w:r>
        <w:rPr>
          <w:rFonts w:hint="eastAsia" w:hAnsi="宋体"/>
          <w:sz w:val="24"/>
          <w:highlight w:val="none"/>
        </w:rPr>
        <w:t>研讨</w:t>
      </w:r>
      <w:r>
        <w:rPr>
          <w:rFonts w:hAnsi="宋体"/>
          <w:sz w:val="24"/>
          <w:highlight w:val="none"/>
        </w:rPr>
        <w:t>，确保了标准中试验方法和技术指标的先进性。</w:t>
      </w:r>
    </w:p>
    <w:p>
      <w:pPr>
        <w:spacing w:beforeLines="50" w:afterLines="50" w:line="360" w:lineRule="exact"/>
        <w:rPr>
          <w:rFonts w:ascii="黑体" w:hAnsi="黑体" w:eastAsia="黑体"/>
          <w:sz w:val="28"/>
          <w:szCs w:val="28"/>
          <w:highlight w:val="none"/>
        </w:rPr>
      </w:pPr>
      <w:r>
        <w:rPr>
          <w:rFonts w:hint="eastAsia" w:ascii="黑体" w:hAnsi="黑体" w:eastAsia="黑体"/>
          <w:sz w:val="28"/>
          <w:szCs w:val="28"/>
          <w:highlight w:val="none"/>
        </w:rPr>
        <w:t>2.2</w:t>
      </w:r>
      <w:r>
        <w:rPr>
          <w:rFonts w:hint="eastAsia" w:ascii="黑体" w:hAnsi="黑体" w:eastAsia="黑体"/>
          <w:color w:val="000000" w:themeColor="text1"/>
          <w:sz w:val="28"/>
          <w:szCs w:val="28"/>
          <w:highlight w:val="none"/>
        </w:rPr>
        <w:t xml:space="preserve"> </w:t>
      </w:r>
      <w:r>
        <w:rPr>
          <w:rFonts w:ascii="黑体" w:hAnsi="黑体" w:eastAsia="黑体"/>
          <w:sz w:val="28"/>
          <w:szCs w:val="28"/>
          <w:highlight w:val="none"/>
        </w:rPr>
        <w:t>主要内容</w:t>
      </w:r>
      <w:r>
        <w:rPr>
          <w:rFonts w:hint="eastAsia" w:ascii="黑体" w:hAnsi="黑体" w:eastAsia="黑体"/>
          <w:sz w:val="28"/>
          <w:szCs w:val="28"/>
          <w:highlight w:val="none"/>
        </w:rPr>
        <w:t>（如技术指标、参数、公式、性能要求、试验方法、检验规则等）的论据，解决的主要问题内容。</w:t>
      </w:r>
    </w:p>
    <w:p>
      <w:pPr>
        <w:spacing w:beforeLines="50" w:afterLines="50" w:line="460" w:lineRule="exact"/>
        <w:outlineLvl w:val="0"/>
        <w:rPr>
          <w:rFonts w:ascii="黑体" w:hAnsi="宋体" w:eastAsia="黑体"/>
          <w:sz w:val="24"/>
          <w:highlight w:val="none"/>
        </w:rPr>
      </w:pPr>
      <w:r>
        <w:rPr>
          <w:rFonts w:hint="eastAsia" w:ascii="黑体" w:hAnsi="宋体" w:eastAsia="黑体"/>
          <w:sz w:val="24"/>
          <w:highlight w:val="none"/>
        </w:rPr>
        <w:t>2.2.1标准的适用范围</w:t>
      </w:r>
    </w:p>
    <w:p>
      <w:pPr>
        <w:spacing w:line="360" w:lineRule="auto"/>
        <w:ind w:firstLine="480" w:firstLineChars="200"/>
        <w:rPr>
          <w:rFonts w:hAnsi="宋体"/>
          <w:sz w:val="24"/>
          <w:highlight w:val="none"/>
        </w:rPr>
      </w:pPr>
      <w:r>
        <w:rPr>
          <w:rFonts w:hAnsi="宋体"/>
          <w:sz w:val="24"/>
          <w:highlight w:val="none"/>
        </w:rPr>
        <w:t>标准起草小组根据GB/T 1.1-200</w:t>
      </w:r>
      <w:r>
        <w:rPr>
          <w:rFonts w:hint="eastAsia" w:hAnsi="宋体"/>
          <w:sz w:val="24"/>
          <w:highlight w:val="none"/>
        </w:rPr>
        <w:t>9</w:t>
      </w:r>
      <w:r>
        <w:rPr>
          <w:rFonts w:hAnsi="宋体"/>
          <w:sz w:val="24"/>
          <w:highlight w:val="none"/>
        </w:rPr>
        <w:t>《标准化工作导则 第1部分：标准的结构和编写》编制标准草案。标准</w:t>
      </w:r>
      <w:r>
        <w:rPr>
          <w:rFonts w:hint="eastAsia" w:hAnsi="宋体"/>
          <w:sz w:val="24"/>
          <w:highlight w:val="none"/>
        </w:rPr>
        <w:t>主要内容</w:t>
      </w:r>
      <w:r>
        <w:rPr>
          <w:rFonts w:hAnsi="宋体"/>
          <w:sz w:val="24"/>
          <w:highlight w:val="none"/>
        </w:rPr>
        <w:t>包括</w:t>
      </w:r>
      <w:r>
        <w:rPr>
          <w:rFonts w:hint="eastAsia" w:hAnsi="宋体"/>
          <w:sz w:val="24"/>
          <w:highlight w:val="none"/>
        </w:rPr>
        <w:t>：智能家具的产品分类、要求、检验方法、标志、使用说明、包装、运输和贮存，以及1个资料性附录。本标准适用于室内用智能家具产品的质量检验。</w:t>
      </w:r>
    </w:p>
    <w:p>
      <w:pPr>
        <w:spacing w:line="360" w:lineRule="auto"/>
        <w:rPr>
          <w:rFonts w:ascii="黑体" w:hAnsi="黑体" w:eastAsia="黑体" w:cs="黑体"/>
          <w:sz w:val="24"/>
          <w:highlight w:val="none"/>
        </w:rPr>
      </w:pPr>
      <w:r>
        <w:rPr>
          <w:rFonts w:hint="eastAsia" w:ascii="黑体" w:hAnsi="黑体" w:eastAsia="黑体" w:cs="黑体"/>
          <w:sz w:val="24"/>
          <w:highlight w:val="none"/>
        </w:rPr>
        <w:t>2.2.2智能家具产品的定义</w:t>
      </w:r>
    </w:p>
    <w:p>
      <w:pPr>
        <w:spacing w:line="360" w:lineRule="auto"/>
        <w:ind w:firstLine="480" w:firstLineChars="200"/>
        <w:rPr>
          <w:rFonts w:hAnsi="宋体"/>
          <w:sz w:val="24"/>
          <w:highlight w:val="none"/>
        </w:rPr>
      </w:pPr>
      <w:r>
        <w:rPr>
          <w:rFonts w:hint="eastAsia" w:hAnsi="宋体"/>
          <w:sz w:val="24"/>
          <w:highlight w:val="none"/>
        </w:rPr>
        <w:t>标准研究小组全面搜集了目前与智能家具相关的国标、行标和企业标准，总结了其中对智能家居产品、智能家具的定义。</w:t>
      </w:r>
    </w:p>
    <w:p>
      <w:pPr>
        <w:spacing w:line="360" w:lineRule="auto"/>
        <w:jc w:val="center"/>
        <w:rPr>
          <w:rFonts w:ascii="黑体" w:hAnsi="黑体" w:eastAsia="黑体" w:cs="黑体"/>
          <w:szCs w:val="21"/>
          <w:highlight w:val="none"/>
        </w:rPr>
      </w:pPr>
      <w:r>
        <w:rPr>
          <w:rFonts w:hint="eastAsia" w:ascii="黑体" w:hAnsi="黑体" w:eastAsia="黑体" w:cs="黑体"/>
          <w:szCs w:val="21"/>
          <w:highlight w:val="none"/>
        </w:rPr>
        <w:t>表2 智能家居产品的定义</w:t>
      </w:r>
    </w:p>
    <w:tbl>
      <w:tblPr>
        <w:tblStyle w:val="11"/>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9"/>
        <w:gridCol w:w="2354"/>
        <w:gridCol w:w="5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blHeader/>
        </w:trPr>
        <w:tc>
          <w:tcPr>
            <w:tcW w:w="1189" w:type="dxa"/>
            <w:vAlign w:val="center"/>
          </w:tcPr>
          <w:p>
            <w:pPr>
              <w:adjustRightInd w:val="0"/>
              <w:snapToGrid w:val="0"/>
              <w:jc w:val="center"/>
              <w:rPr>
                <w:rFonts w:ascii="宋体" w:hAnsi="宋体" w:cs="宋体"/>
                <w:b/>
                <w:bCs/>
                <w:szCs w:val="21"/>
                <w:highlight w:val="none"/>
              </w:rPr>
            </w:pPr>
            <w:r>
              <w:rPr>
                <w:rFonts w:hint="eastAsia" w:ascii="宋体" w:hAnsi="宋体" w:cs="宋体"/>
                <w:b/>
                <w:bCs/>
                <w:szCs w:val="21"/>
                <w:highlight w:val="none"/>
              </w:rPr>
              <w:t>术语</w:t>
            </w:r>
          </w:p>
        </w:tc>
        <w:tc>
          <w:tcPr>
            <w:tcW w:w="2354" w:type="dxa"/>
            <w:vAlign w:val="center"/>
          </w:tcPr>
          <w:p>
            <w:pPr>
              <w:adjustRightInd w:val="0"/>
              <w:snapToGrid w:val="0"/>
              <w:jc w:val="center"/>
              <w:rPr>
                <w:rFonts w:ascii="宋体" w:hAnsi="宋体" w:cs="宋体"/>
                <w:b/>
                <w:bCs/>
                <w:szCs w:val="21"/>
                <w:highlight w:val="none"/>
              </w:rPr>
            </w:pPr>
            <w:r>
              <w:rPr>
                <w:rFonts w:hint="eastAsia" w:ascii="宋体" w:hAnsi="宋体" w:cs="宋体"/>
                <w:b/>
                <w:bCs/>
                <w:szCs w:val="21"/>
                <w:highlight w:val="none"/>
              </w:rPr>
              <w:t>来源</w:t>
            </w:r>
          </w:p>
        </w:tc>
        <w:tc>
          <w:tcPr>
            <w:tcW w:w="5335" w:type="dxa"/>
            <w:vAlign w:val="center"/>
          </w:tcPr>
          <w:p>
            <w:pPr>
              <w:adjustRightInd w:val="0"/>
              <w:snapToGrid w:val="0"/>
              <w:jc w:val="center"/>
              <w:rPr>
                <w:rFonts w:ascii="宋体" w:hAnsi="宋体" w:cs="宋体"/>
                <w:b/>
                <w:bCs/>
                <w:szCs w:val="21"/>
                <w:highlight w:val="none"/>
              </w:rPr>
            </w:pPr>
            <w:r>
              <w:rPr>
                <w:rFonts w:hint="eastAsia" w:ascii="宋体" w:hAnsi="宋体" w:cs="宋体"/>
                <w:b/>
                <w:bCs/>
                <w:szCs w:val="21"/>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1189"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智能家具</w:t>
            </w:r>
          </w:p>
        </w:tc>
        <w:tc>
          <w:tcPr>
            <w:tcW w:w="2354"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T/CNFA 8-2019 智能家具 多功能床</w:t>
            </w:r>
          </w:p>
        </w:tc>
        <w:tc>
          <w:tcPr>
            <w:tcW w:w="5335"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综合应用电子智能、机械智能、物联智能等功能技术，通过人机交互实现功能转换的家具。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189"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智能坐便器</w:t>
            </w:r>
          </w:p>
        </w:tc>
        <w:tc>
          <w:tcPr>
            <w:tcW w:w="2354"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CBMF 15-2019智能坐便器</w:t>
            </w:r>
          </w:p>
        </w:tc>
        <w:tc>
          <w:tcPr>
            <w:tcW w:w="5335"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由机电系统或程序控制，完成智能基本功能的坐便器，也可有一项或多项智能辅助功能。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8" w:hRule="atLeast"/>
        </w:trPr>
        <w:tc>
          <w:tcPr>
            <w:tcW w:w="1189"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智能硬件</w:t>
            </w:r>
          </w:p>
        </w:tc>
        <w:tc>
          <w:tcPr>
            <w:tcW w:w="2354"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GB∕T 38319-2019 建筑及居住区数字化技术应用 智能硬件技术要求</w:t>
            </w:r>
          </w:p>
        </w:tc>
        <w:tc>
          <w:tcPr>
            <w:tcW w:w="5335"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具备感知、联网、人机交互、后台服务支撑等功能的设备总称。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189"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智能门锁</w:t>
            </w:r>
          </w:p>
        </w:tc>
        <w:tc>
          <w:tcPr>
            <w:tcW w:w="2354"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JG∕T 394-2012 建筑智能门锁通用技术要求</w:t>
            </w:r>
          </w:p>
        </w:tc>
        <w:tc>
          <w:tcPr>
            <w:tcW w:w="5335"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通过识别生物特征、电子标签、无线遥控编码、电子密码等信息以电动方式控制机械执行机构实施启闭的门锁。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6" w:hRule="atLeast"/>
        </w:trPr>
        <w:tc>
          <w:tcPr>
            <w:tcW w:w="1189"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智能家具</w:t>
            </w:r>
          </w:p>
        </w:tc>
        <w:tc>
          <w:tcPr>
            <w:tcW w:w="2354"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T/SZFA 1006-2020 智能家具 通用要求</w:t>
            </w:r>
          </w:p>
        </w:tc>
        <w:tc>
          <w:tcPr>
            <w:tcW w:w="5335"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智能家具是智能家居的一部分，它是将人工智能和物联网技术等高新技术手段通过系统集成融汇到传统家具产品中，实现对家具功能、类型、材料、结构、工艺等方面的优化重构，形成“人-家具-环境”互联互通的这类家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9" w:hRule="atLeast"/>
        </w:trPr>
        <w:tc>
          <w:tcPr>
            <w:tcW w:w="1189"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电子智能家具</w:t>
            </w:r>
          </w:p>
        </w:tc>
        <w:tc>
          <w:tcPr>
            <w:tcW w:w="2354"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T/SZFA 1006-2020 智能家具 通用要求</w:t>
            </w:r>
          </w:p>
        </w:tc>
        <w:tc>
          <w:tcPr>
            <w:tcW w:w="5335"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电子智能家具是指将电子科技产品植入家具主体的一类智能家具，可实现与遥控、手机、平板电脑等智能终端进行数据传送，也可结合感应功能和机械智能实现家具形态变化和功能转换。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2" w:hRule="atLeast"/>
        </w:trPr>
        <w:tc>
          <w:tcPr>
            <w:tcW w:w="1189"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物联智能家具</w:t>
            </w:r>
          </w:p>
        </w:tc>
        <w:tc>
          <w:tcPr>
            <w:tcW w:w="2354"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T/SZFA 1006-2020 智能家具 通用要求</w:t>
            </w:r>
          </w:p>
        </w:tc>
        <w:tc>
          <w:tcPr>
            <w:tcW w:w="5335"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物联智能家具是指融入智能家居系统实现与其他智能终端互联互通、协同工作的一类智能家具，可实现设备间的数据交换、人机交互、远程控制等功能。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7" w:hRule="atLeast"/>
        </w:trPr>
        <w:tc>
          <w:tcPr>
            <w:tcW w:w="1189"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智能坐便器</w:t>
            </w:r>
          </w:p>
        </w:tc>
        <w:tc>
          <w:tcPr>
            <w:tcW w:w="2354"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T∕ZZB 0147-2016 智能坐便器</w:t>
            </w:r>
          </w:p>
        </w:tc>
        <w:tc>
          <w:tcPr>
            <w:tcW w:w="5335"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由机电系统或程序控制，完成基本智能功能的坐便器。智能坐便器也可有一项或多项辅助智能功能或扩展智能功能。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36" w:hRule="atLeast"/>
        </w:trPr>
        <w:tc>
          <w:tcPr>
            <w:tcW w:w="1189"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智能床垫</w:t>
            </w:r>
          </w:p>
        </w:tc>
        <w:tc>
          <w:tcPr>
            <w:tcW w:w="2354"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MZ∕T 180-2021 无拘束监测智能床垫</w:t>
            </w:r>
          </w:p>
        </w:tc>
        <w:tc>
          <w:tcPr>
            <w:tcW w:w="5335"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与计算机系统连接，能够实时监测人的基本生理体征以及在床或离床、体动或其他异常状态，具有提示、报警或紧急呼叫功能的铺垫在床上的垫体。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8" w:hRule="atLeast"/>
        </w:trPr>
        <w:tc>
          <w:tcPr>
            <w:tcW w:w="1189"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智能</w:t>
            </w:r>
          </w:p>
        </w:tc>
        <w:tc>
          <w:tcPr>
            <w:tcW w:w="2354"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GB∕T 28219-2018 智能家用电器通用技术要求</w:t>
            </w:r>
          </w:p>
        </w:tc>
        <w:tc>
          <w:tcPr>
            <w:tcW w:w="5335"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具有人类或类似人类智慧特征的能力。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3" w:hRule="atLeast"/>
        </w:trPr>
        <w:tc>
          <w:tcPr>
            <w:tcW w:w="1189"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智能化技术</w:t>
            </w:r>
          </w:p>
        </w:tc>
        <w:tc>
          <w:tcPr>
            <w:tcW w:w="2354"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GB∕T 28219-2018 智能家用电器通用技术要求</w:t>
            </w:r>
          </w:p>
        </w:tc>
        <w:tc>
          <w:tcPr>
            <w:tcW w:w="5335"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使产品或事物具备人类或类似人类智慧特征的技术或技术解决方案。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0" w:hRule="atLeast"/>
        </w:trPr>
        <w:tc>
          <w:tcPr>
            <w:tcW w:w="1189"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智能家居</w:t>
            </w:r>
          </w:p>
        </w:tc>
        <w:tc>
          <w:tcPr>
            <w:tcW w:w="2354"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GB∕T 28219-2018 智能家用电器通用技术要求</w:t>
            </w:r>
          </w:p>
        </w:tc>
        <w:tc>
          <w:tcPr>
            <w:tcW w:w="5335"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建立在住宅基础上的，基于人们对家居生活的安全性、实用性、便捷性、舒适性、环保节能等更高的综合需求，由一个或一个以上智能家电系统组成的家居设施及其管理系统。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0" w:hRule="atLeast"/>
        </w:trPr>
        <w:tc>
          <w:tcPr>
            <w:tcW w:w="1189"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智能马桶盖</w:t>
            </w:r>
          </w:p>
        </w:tc>
        <w:tc>
          <w:tcPr>
            <w:tcW w:w="2354" w:type="dxa"/>
            <w:vAlign w:val="center"/>
          </w:tcPr>
          <w:p>
            <w:pPr>
              <w:adjustRightInd w:val="0"/>
              <w:snapToGrid w:val="0"/>
              <w:rPr>
                <w:rFonts w:ascii="宋体" w:hAnsi="宋体" w:cs="宋体"/>
                <w:szCs w:val="21"/>
                <w:highlight w:val="none"/>
              </w:rPr>
            </w:pPr>
            <w:r>
              <w:rPr>
                <w:rFonts w:ascii="宋体" w:hAnsi="宋体" w:cs="宋体"/>
                <w:szCs w:val="21"/>
                <w:highlight w:val="none"/>
              </w:rPr>
              <w:t>T/CEEIA 278—2017</w:t>
            </w:r>
          </w:p>
        </w:tc>
        <w:tc>
          <w:tcPr>
            <w:tcW w:w="5335" w:type="dxa"/>
            <w:vAlign w:val="center"/>
          </w:tcPr>
          <w:p>
            <w:pPr>
              <w:adjustRightInd w:val="0"/>
              <w:snapToGrid w:val="0"/>
              <w:rPr>
                <w:rFonts w:ascii="宋体" w:hAnsi="宋体" w:cs="宋体"/>
                <w:szCs w:val="21"/>
                <w:highlight w:val="none"/>
              </w:rPr>
            </w:pPr>
            <w:r>
              <w:rPr>
                <w:rFonts w:hint="eastAsia" w:ascii="宋体" w:hAnsi="宋体" w:cs="宋体"/>
                <w:szCs w:val="21"/>
                <w:highlight w:val="none"/>
              </w:rPr>
              <w:t>利用可移动喷杆喷出的温水冲洗人体臀部和女性下体并充当坐便器坐圈及盖使用的器具，通常该器具还有暖风烘干、坐圈加热等功能。</w:t>
            </w:r>
          </w:p>
        </w:tc>
      </w:tr>
    </w:tbl>
    <w:p>
      <w:pPr>
        <w:pStyle w:val="18"/>
        <w:tabs>
          <w:tab w:val="center" w:pos="4201"/>
          <w:tab w:val="right" w:leader="dot" w:pos="9298"/>
        </w:tabs>
        <w:spacing w:line="360" w:lineRule="auto"/>
        <w:jc w:val="both"/>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在前期开展的标准研讨会上，大部分技术人员认为机械智能以及组合智能不能算作智能家具所涵盖的范围，具有机械部件的家具需结合电子部件形成机电系统。考虑到目前智能家具发展的程度，同时考虑标准对智能家具产业的推动和促进作用，将智能家具所应具备的要素纳入智能家具标准所涵盖的范围，因此，本标准将智能家具的定义规定为：“具有智能语言交互、数据采集监测、数据传输储存、基于感知数据的处置调整和远程控制等全部或部分功能的家具”。</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在机械安全要求中，引入了“运行装置”的概念，在定义3.4对该词进行了定义：运行装置是指在智能家具中通过机械或机电系统变换空间位置，实现家具功能调节或转换的部件或组件。</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根据力学和结构的要求，增加了“可调节结构”、“锁定装置”、“缓冲装置”、“接触区”的定义。</w:t>
      </w:r>
    </w:p>
    <w:p>
      <w:pPr>
        <w:spacing w:line="360" w:lineRule="auto"/>
        <w:rPr>
          <w:rFonts w:ascii="黑体" w:hAnsi="黑体" w:eastAsia="黑体" w:cs="黑体"/>
          <w:sz w:val="24"/>
          <w:highlight w:val="none"/>
        </w:rPr>
      </w:pPr>
      <w:r>
        <w:rPr>
          <w:rFonts w:hint="eastAsia" w:ascii="黑体" w:hAnsi="黑体" w:eastAsia="黑体" w:cs="黑体"/>
          <w:sz w:val="24"/>
          <w:highlight w:val="none"/>
        </w:rPr>
        <w:t>2.2.3智能家具产品的分类</w:t>
      </w:r>
    </w:p>
    <w:p>
      <w:pPr>
        <w:spacing w:line="360" w:lineRule="auto"/>
        <w:ind w:firstLine="480" w:firstLineChars="200"/>
        <w:rPr>
          <w:rFonts w:hAnsi="宋体"/>
          <w:sz w:val="24"/>
          <w:highlight w:val="none"/>
        </w:rPr>
      </w:pPr>
      <w:r>
        <w:rPr>
          <w:rFonts w:hint="eastAsia" w:hAnsi="宋体"/>
          <w:sz w:val="24"/>
          <w:highlight w:val="none"/>
        </w:rPr>
        <w:t>本标准在对阻燃</w:t>
      </w:r>
      <w:r>
        <w:rPr>
          <w:rFonts w:hint="eastAsia" w:hAnsi="宋体"/>
          <w:sz w:val="24"/>
          <w:highlight w:val="none"/>
          <w:lang w:val="en-US" w:eastAsia="zh-CN"/>
        </w:rPr>
        <w:t>性</w:t>
      </w:r>
      <w:r>
        <w:rPr>
          <w:rFonts w:hint="eastAsia" w:hAnsi="宋体"/>
          <w:sz w:val="24"/>
          <w:highlight w:val="none"/>
        </w:rPr>
        <w:t>部分进行要求时，使用到了按照使用场所分类的家具产品描述方式。</w:t>
      </w:r>
    </w:p>
    <w:p>
      <w:pPr>
        <w:spacing w:line="360" w:lineRule="auto"/>
        <w:ind w:firstLine="480" w:firstLineChars="200"/>
        <w:rPr>
          <w:rFonts w:hAnsi="宋体"/>
          <w:sz w:val="24"/>
          <w:highlight w:val="none"/>
        </w:rPr>
      </w:pPr>
      <w:r>
        <w:rPr>
          <w:rFonts w:hint="eastAsia" w:hAnsi="宋体"/>
          <w:sz w:val="24"/>
          <w:highlight w:val="none"/>
        </w:rPr>
        <w:t>按使用场所可分为：a）家用智能家具；b）公共场所用智能家具。</w:t>
      </w:r>
    </w:p>
    <w:p>
      <w:pPr>
        <w:spacing w:line="360" w:lineRule="auto"/>
        <w:rPr>
          <w:rFonts w:ascii="黑体" w:hAnsi="黑体" w:eastAsia="黑体" w:cs="黑体"/>
          <w:sz w:val="24"/>
          <w:highlight w:val="none"/>
        </w:rPr>
      </w:pPr>
      <w:r>
        <w:rPr>
          <w:rFonts w:hint="eastAsia" w:ascii="黑体" w:hAnsi="黑体" w:eastAsia="黑体" w:cs="黑体"/>
          <w:sz w:val="24"/>
          <w:highlight w:val="none"/>
        </w:rPr>
        <w:t>2.2.4基本要求（尺寸、材料、外观、理化性能、卫生安全）</w:t>
      </w:r>
    </w:p>
    <w:p>
      <w:pPr>
        <w:spacing w:line="360" w:lineRule="auto"/>
        <w:ind w:firstLine="480" w:firstLineChars="200"/>
        <w:rPr>
          <w:rFonts w:hAnsi="宋体"/>
          <w:sz w:val="24"/>
          <w:highlight w:val="none"/>
        </w:rPr>
      </w:pPr>
      <w:r>
        <w:rPr>
          <w:rFonts w:hAnsi="宋体"/>
          <w:sz w:val="24"/>
          <w:highlight w:val="none"/>
        </w:rPr>
        <w:t>智能家具产品的主要尺寸及其偏差、形状和位置公差、材料要求、外观要求、理化性能</w:t>
      </w:r>
      <w:r>
        <w:rPr>
          <w:rFonts w:hint="eastAsia" w:hAnsi="宋体"/>
          <w:sz w:val="24"/>
          <w:highlight w:val="none"/>
        </w:rPr>
        <w:t>、卫生安全</w:t>
      </w:r>
      <w:r>
        <w:rPr>
          <w:rFonts w:hAnsi="宋体"/>
          <w:sz w:val="24"/>
          <w:highlight w:val="none"/>
        </w:rPr>
        <w:t>等指标，</w:t>
      </w:r>
      <w:r>
        <w:rPr>
          <w:rFonts w:hint="eastAsia" w:hAnsi="宋体"/>
          <w:sz w:val="24"/>
          <w:highlight w:val="none"/>
        </w:rPr>
        <w:t>是家具的基本质量指标，应遵循现有国家、行业执行的产品标准，本标准参考了GB/T 35607-2017附录A中表A.1，在其基础上增加了四项新制定的行业标准：《鞋柜》、《实验室家具 通风柜》、《婴幼儿床垫》、《单层床通用技术条件》。另外，由于本标准对应产品的适用范围是室内用家具，因此在产品标准清单中删除了户外用家具产品。同时，将常用的家具原材料标准加入到附录A的表A.2中。</w:t>
      </w:r>
    </w:p>
    <w:p>
      <w:pPr>
        <w:pStyle w:val="18"/>
        <w:tabs>
          <w:tab w:val="center" w:pos="4201"/>
          <w:tab w:val="right" w:leader="dot" w:pos="9298"/>
        </w:tabs>
        <w:spacing w:beforeLines="50" w:afterLines="50"/>
        <w:ind w:firstLine="0" w:firstLineChars="0"/>
        <w:jc w:val="center"/>
        <w:rPr>
          <w:highlight w:val="none"/>
        </w:rPr>
      </w:pPr>
      <w:r>
        <w:rPr>
          <w:rFonts w:hint="eastAsia" w:ascii="黑体" w:hAnsi="黑体" w:eastAsia="黑体"/>
          <w:highlight w:val="none"/>
        </w:rPr>
        <w:t>表3　各类家具产品质量评价标准</w:t>
      </w:r>
    </w:p>
    <w:tbl>
      <w:tblPr>
        <w:tblStyle w:val="10"/>
        <w:tblW w:w="847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39"/>
        <w:gridCol w:w="3067"/>
        <w:gridCol w:w="396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blHeader/>
        </w:trPr>
        <w:tc>
          <w:tcPr>
            <w:tcW w:w="1439" w:type="dxa"/>
            <w:tcBorders>
              <w:top w:val="single" w:color="000000" w:sz="12" w:space="0"/>
            </w:tcBorders>
            <w:vAlign w:val="center"/>
          </w:tcPr>
          <w:p>
            <w:pPr>
              <w:jc w:val="center"/>
              <w:rPr>
                <w:rFonts w:ascii="宋体" w:hAnsi="宋体"/>
                <w:b/>
                <w:bCs/>
                <w:szCs w:val="21"/>
                <w:highlight w:val="none"/>
              </w:rPr>
            </w:pPr>
            <w:r>
              <w:rPr>
                <w:rFonts w:hint="eastAsia" w:ascii="宋体" w:hAnsi="宋体"/>
                <w:b/>
                <w:bCs/>
                <w:szCs w:val="21"/>
                <w:highlight w:val="none"/>
              </w:rPr>
              <w:t>序号</w:t>
            </w:r>
          </w:p>
        </w:tc>
        <w:tc>
          <w:tcPr>
            <w:tcW w:w="3067" w:type="dxa"/>
            <w:tcBorders>
              <w:top w:val="single" w:color="000000" w:sz="12" w:space="0"/>
            </w:tcBorders>
            <w:vAlign w:val="center"/>
          </w:tcPr>
          <w:p>
            <w:pPr>
              <w:jc w:val="center"/>
              <w:rPr>
                <w:rFonts w:ascii="宋体" w:hAnsi="宋体"/>
                <w:b/>
                <w:bCs/>
                <w:szCs w:val="21"/>
                <w:highlight w:val="none"/>
              </w:rPr>
            </w:pPr>
            <w:r>
              <w:rPr>
                <w:rFonts w:hint="eastAsia" w:ascii="宋体" w:hAnsi="宋体"/>
                <w:b/>
                <w:bCs/>
                <w:szCs w:val="21"/>
                <w:highlight w:val="none"/>
              </w:rPr>
              <w:t>产品名称</w:t>
            </w:r>
          </w:p>
        </w:tc>
        <w:tc>
          <w:tcPr>
            <w:tcW w:w="3966" w:type="dxa"/>
            <w:tcBorders>
              <w:top w:val="single" w:color="000000" w:sz="12" w:space="0"/>
            </w:tcBorders>
            <w:vAlign w:val="center"/>
          </w:tcPr>
          <w:p>
            <w:pPr>
              <w:jc w:val="center"/>
              <w:rPr>
                <w:rFonts w:ascii="宋体" w:hAnsi="宋体"/>
                <w:b/>
                <w:bCs/>
                <w:szCs w:val="21"/>
                <w:highlight w:val="none"/>
              </w:rPr>
            </w:pPr>
            <w:r>
              <w:rPr>
                <w:rFonts w:hint="eastAsia" w:ascii="宋体" w:hAnsi="宋体"/>
                <w:b/>
                <w:bCs/>
                <w:szCs w:val="21"/>
                <w:highlight w:val="none"/>
              </w:rPr>
              <w:t>标准编号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1</w:t>
            </w:r>
          </w:p>
        </w:tc>
        <w:tc>
          <w:tcPr>
            <w:tcW w:w="3067" w:type="dxa"/>
            <w:vAlign w:val="center"/>
          </w:tcPr>
          <w:p>
            <w:pPr>
              <w:jc w:val="center"/>
              <w:rPr>
                <w:rFonts w:ascii="宋体" w:hAnsi="宋体"/>
                <w:szCs w:val="21"/>
                <w:highlight w:val="none"/>
              </w:rPr>
            </w:pPr>
            <w:r>
              <w:rPr>
                <w:rFonts w:hint="eastAsia" w:ascii="宋体" w:hAnsi="宋体"/>
                <w:szCs w:val="21"/>
                <w:highlight w:val="none"/>
              </w:rPr>
              <w:t>木家具</w:t>
            </w:r>
          </w:p>
        </w:tc>
        <w:tc>
          <w:tcPr>
            <w:tcW w:w="3966" w:type="dxa"/>
            <w:vAlign w:val="center"/>
          </w:tcPr>
          <w:p>
            <w:pPr>
              <w:jc w:val="center"/>
              <w:rPr>
                <w:rFonts w:ascii="宋体" w:hAnsi="宋体"/>
                <w:b/>
                <w:szCs w:val="21"/>
                <w:highlight w:val="none"/>
              </w:rPr>
            </w:pPr>
            <w:r>
              <w:rPr>
                <w:rFonts w:hint="eastAsia" w:ascii="宋体" w:hAnsi="宋体"/>
                <w:szCs w:val="21"/>
                <w:highlight w:val="none"/>
              </w:rPr>
              <w:t>GB/T 3324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2</w:t>
            </w:r>
          </w:p>
        </w:tc>
        <w:tc>
          <w:tcPr>
            <w:tcW w:w="3067" w:type="dxa"/>
            <w:vAlign w:val="center"/>
          </w:tcPr>
          <w:p>
            <w:pPr>
              <w:jc w:val="center"/>
              <w:rPr>
                <w:rFonts w:ascii="宋体" w:hAnsi="宋体"/>
                <w:szCs w:val="21"/>
                <w:highlight w:val="none"/>
              </w:rPr>
            </w:pPr>
            <w:r>
              <w:rPr>
                <w:rFonts w:hint="eastAsia" w:ascii="宋体" w:hAnsi="宋体"/>
                <w:szCs w:val="21"/>
                <w:highlight w:val="none"/>
              </w:rPr>
              <w:t>金属家具</w:t>
            </w:r>
          </w:p>
        </w:tc>
        <w:tc>
          <w:tcPr>
            <w:tcW w:w="3966" w:type="dxa"/>
            <w:vAlign w:val="center"/>
          </w:tcPr>
          <w:p>
            <w:pPr>
              <w:jc w:val="center"/>
              <w:rPr>
                <w:rFonts w:ascii="宋体" w:hAnsi="宋体"/>
                <w:szCs w:val="21"/>
                <w:highlight w:val="none"/>
              </w:rPr>
            </w:pPr>
            <w:r>
              <w:rPr>
                <w:rFonts w:hint="eastAsia" w:ascii="宋体" w:hAnsi="宋体"/>
                <w:szCs w:val="21"/>
                <w:highlight w:val="none"/>
              </w:rPr>
              <w:t>GB/T 3325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3</w:t>
            </w:r>
          </w:p>
        </w:tc>
        <w:tc>
          <w:tcPr>
            <w:tcW w:w="3067" w:type="dxa"/>
            <w:vAlign w:val="center"/>
          </w:tcPr>
          <w:p>
            <w:pPr>
              <w:jc w:val="center"/>
              <w:rPr>
                <w:rFonts w:ascii="宋体" w:hAnsi="宋体"/>
                <w:szCs w:val="21"/>
                <w:highlight w:val="none"/>
              </w:rPr>
            </w:pPr>
            <w:r>
              <w:rPr>
                <w:rFonts w:hint="eastAsia" w:ascii="宋体" w:hAnsi="宋体"/>
                <w:szCs w:val="21"/>
                <w:highlight w:val="none"/>
              </w:rPr>
              <w:t>阅览桌、椅、凳</w:t>
            </w:r>
          </w:p>
        </w:tc>
        <w:tc>
          <w:tcPr>
            <w:tcW w:w="3966" w:type="dxa"/>
            <w:vAlign w:val="center"/>
          </w:tcPr>
          <w:p>
            <w:pPr>
              <w:jc w:val="center"/>
              <w:rPr>
                <w:rFonts w:ascii="宋体" w:hAnsi="宋体"/>
                <w:szCs w:val="21"/>
                <w:highlight w:val="none"/>
              </w:rPr>
            </w:pPr>
            <w:r>
              <w:rPr>
                <w:rFonts w:hint="eastAsia" w:ascii="宋体" w:hAnsi="宋体"/>
                <w:szCs w:val="21"/>
                <w:highlight w:val="none"/>
              </w:rPr>
              <w:t>GB/T 14531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4</w:t>
            </w:r>
          </w:p>
        </w:tc>
        <w:tc>
          <w:tcPr>
            <w:tcW w:w="3067" w:type="dxa"/>
            <w:vAlign w:val="center"/>
          </w:tcPr>
          <w:p>
            <w:pPr>
              <w:jc w:val="center"/>
              <w:rPr>
                <w:rFonts w:ascii="宋体" w:hAnsi="宋体"/>
                <w:szCs w:val="21"/>
                <w:highlight w:val="none"/>
              </w:rPr>
            </w:pPr>
            <w:r>
              <w:rPr>
                <w:rFonts w:hint="eastAsia" w:ascii="宋体" w:hAnsi="宋体"/>
                <w:szCs w:val="21"/>
                <w:highlight w:val="none"/>
              </w:rPr>
              <w:t>办公家具 木制柜、架</w:t>
            </w:r>
          </w:p>
        </w:tc>
        <w:tc>
          <w:tcPr>
            <w:tcW w:w="3966" w:type="dxa"/>
            <w:vAlign w:val="center"/>
          </w:tcPr>
          <w:p>
            <w:pPr>
              <w:jc w:val="center"/>
              <w:rPr>
                <w:rFonts w:ascii="宋体" w:hAnsi="宋体"/>
                <w:szCs w:val="21"/>
                <w:highlight w:val="none"/>
              </w:rPr>
            </w:pPr>
            <w:r>
              <w:rPr>
                <w:rFonts w:hint="eastAsia" w:ascii="宋体" w:hAnsi="宋体"/>
                <w:szCs w:val="21"/>
                <w:highlight w:val="none"/>
              </w:rPr>
              <w:t>GB/T 14532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5</w:t>
            </w:r>
          </w:p>
        </w:tc>
        <w:tc>
          <w:tcPr>
            <w:tcW w:w="3067" w:type="dxa"/>
            <w:vAlign w:val="center"/>
          </w:tcPr>
          <w:p>
            <w:pPr>
              <w:jc w:val="center"/>
              <w:rPr>
                <w:rFonts w:ascii="宋体" w:hAnsi="宋体"/>
                <w:szCs w:val="21"/>
                <w:highlight w:val="none"/>
              </w:rPr>
            </w:pPr>
            <w:r>
              <w:rPr>
                <w:rFonts w:hint="eastAsia" w:ascii="宋体" w:hAnsi="宋体"/>
                <w:szCs w:val="21"/>
                <w:highlight w:val="none"/>
              </w:rPr>
              <w:t>儿童高椅</w:t>
            </w:r>
          </w:p>
        </w:tc>
        <w:tc>
          <w:tcPr>
            <w:tcW w:w="3966" w:type="dxa"/>
            <w:vAlign w:val="center"/>
          </w:tcPr>
          <w:p>
            <w:pPr>
              <w:jc w:val="center"/>
              <w:rPr>
                <w:rFonts w:ascii="宋体" w:hAnsi="宋体"/>
                <w:szCs w:val="21"/>
                <w:highlight w:val="none"/>
              </w:rPr>
            </w:pPr>
            <w:r>
              <w:rPr>
                <w:rFonts w:hint="eastAsia" w:ascii="宋体" w:hAnsi="宋体"/>
                <w:szCs w:val="21"/>
                <w:highlight w:val="none"/>
              </w:rPr>
              <w:t>GB 22793.1、GB/T 22793.2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6</w:t>
            </w:r>
          </w:p>
        </w:tc>
        <w:tc>
          <w:tcPr>
            <w:tcW w:w="3067" w:type="dxa"/>
            <w:vAlign w:val="center"/>
          </w:tcPr>
          <w:p>
            <w:pPr>
              <w:jc w:val="center"/>
              <w:rPr>
                <w:rFonts w:ascii="宋体" w:hAnsi="宋体"/>
                <w:szCs w:val="21"/>
                <w:highlight w:val="none"/>
              </w:rPr>
            </w:pPr>
            <w:r>
              <w:rPr>
                <w:rFonts w:hint="eastAsia" w:ascii="宋体" w:hAnsi="宋体"/>
                <w:szCs w:val="21"/>
                <w:highlight w:val="none"/>
              </w:rPr>
              <w:t>家用双层床</w:t>
            </w:r>
          </w:p>
        </w:tc>
        <w:tc>
          <w:tcPr>
            <w:tcW w:w="3966" w:type="dxa"/>
            <w:vAlign w:val="center"/>
          </w:tcPr>
          <w:p>
            <w:pPr>
              <w:jc w:val="center"/>
              <w:rPr>
                <w:rFonts w:ascii="宋体" w:hAnsi="宋体"/>
                <w:szCs w:val="21"/>
                <w:highlight w:val="none"/>
              </w:rPr>
            </w:pPr>
            <w:r>
              <w:rPr>
                <w:rFonts w:hint="eastAsia" w:ascii="宋体" w:hAnsi="宋体"/>
                <w:szCs w:val="21"/>
                <w:highlight w:val="none"/>
              </w:rPr>
              <w:t>GB 24430.1、GB/T 24430.2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7</w:t>
            </w:r>
          </w:p>
        </w:tc>
        <w:tc>
          <w:tcPr>
            <w:tcW w:w="3067" w:type="dxa"/>
            <w:vAlign w:val="center"/>
          </w:tcPr>
          <w:p>
            <w:pPr>
              <w:jc w:val="center"/>
              <w:rPr>
                <w:rFonts w:ascii="宋体" w:hAnsi="宋体"/>
                <w:szCs w:val="21"/>
                <w:highlight w:val="none"/>
              </w:rPr>
            </w:pPr>
            <w:r>
              <w:rPr>
                <w:rFonts w:hint="eastAsia" w:ascii="宋体" w:hAnsi="宋体"/>
                <w:szCs w:val="21"/>
                <w:highlight w:val="none"/>
              </w:rPr>
              <w:t>卫浴家具</w:t>
            </w:r>
          </w:p>
        </w:tc>
        <w:tc>
          <w:tcPr>
            <w:tcW w:w="3966" w:type="dxa"/>
            <w:vAlign w:val="center"/>
          </w:tcPr>
          <w:p>
            <w:pPr>
              <w:jc w:val="center"/>
              <w:rPr>
                <w:rFonts w:ascii="宋体" w:hAnsi="宋体"/>
                <w:szCs w:val="21"/>
                <w:highlight w:val="none"/>
              </w:rPr>
            </w:pPr>
            <w:r>
              <w:rPr>
                <w:rFonts w:hint="eastAsia" w:ascii="宋体" w:hAnsi="宋体"/>
                <w:szCs w:val="21"/>
                <w:highlight w:val="none"/>
              </w:rPr>
              <w:t>GB 24977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8</w:t>
            </w:r>
          </w:p>
        </w:tc>
        <w:tc>
          <w:tcPr>
            <w:tcW w:w="3067" w:type="dxa"/>
            <w:vAlign w:val="center"/>
          </w:tcPr>
          <w:p>
            <w:pPr>
              <w:jc w:val="center"/>
              <w:rPr>
                <w:rFonts w:ascii="宋体" w:hAnsi="宋体"/>
                <w:szCs w:val="21"/>
                <w:highlight w:val="none"/>
              </w:rPr>
            </w:pPr>
            <w:r>
              <w:rPr>
                <w:rFonts w:hint="eastAsia" w:ascii="宋体" w:hAnsi="宋体"/>
                <w:szCs w:val="21"/>
                <w:highlight w:val="none"/>
              </w:rPr>
              <w:t>实验室家具</w:t>
            </w:r>
          </w:p>
        </w:tc>
        <w:tc>
          <w:tcPr>
            <w:tcW w:w="3966" w:type="dxa"/>
            <w:vAlign w:val="center"/>
          </w:tcPr>
          <w:p>
            <w:pPr>
              <w:jc w:val="center"/>
              <w:rPr>
                <w:rFonts w:ascii="宋体" w:hAnsi="宋体"/>
                <w:szCs w:val="21"/>
                <w:highlight w:val="none"/>
              </w:rPr>
            </w:pPr>
            <w:r>
              <w:rPr>
                <w:rFonts w:hint="eastAsia" w:ascii="宋体" w:hAnsi="宋体"/>
                <w:szCs w:val="21"/>
                <w:highlight w:val="none"/>
              </w:rPr>
              <w:t>GB 24820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9</w:t>
            </w:r>
          </w:p>
        </w:tc>
        <w:tc>
          <w:tcPr>
            <w:tcW w:w="3067" w:type="dxa"/>
            <w:vAlign w:val="center"/>
          </w:tcPr>
          <w:p>
            <w:pPr>
              <w:jc w:val="center"/>
              <w:rPr>
                <w:rFonts w:ascii="宋体" w:hAnsi="宋体"/>
                <w:szCs w:val="21"/>
                <w:highlight w:val="none"/>
              </w:rPr>
            </w:pPr>
            <w:r>
              <w:rPr>
                <w:rFonts w:hint="eastAsia" w:ascii="宋体" w:hAnsi="宋体"/>
                <w:szCs w:val="21"/>
                <w:highlight w:val="none"/>
              </w:rPr>
              <w:t>餐桌餐椅</w:t>
            </w:r>
          </w:p>
        </w:tc>
        <w:tc>
          <w:tcPr>
            <w:tcW w:w="3966" w:type="dxa"/>
            <w:vAlign w:val="center"/>
          </w:tcPr>
          <w:p>
            <w:pPr>
              <w:jc w:val="center"/>
              <w:rPr>
                <w:rFonts w:ascii="宋体" w:hAnsi="宋体"/>
                <w:szCs w:val="21"/>
                <w:highlight w:val="none"/>
              </w:rPr>
            </w:pPr>
            <w:r>
              <w:rPr>
                <w:rFonts w:hint="eastAsia" w:ascii="宋体" w:hAnsi="宋体"/>
                <w:szCs w:val="21"/>
                <w:highlight w:val="none"/>
              </w:rPr>
              <w:t>GB/T 24821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10</w:t>
            </w:r>
          </w:p>
        </w:tc>
        <w:tc>
          <w:tcPr>
            <w:tcW w:w="3067" w:type="dxa"/>
            <w:vAlign w:val="center"/>
          </w:tcPr>
          <w:p>
            <w:pPr>
              <w:jc w:val="center"/>
              <w:rPr>
                <w:rFonts w:ascii="宋体" w:hAnsi="宋体"/>
                <w:szCs w:val="21"/>
                <w:highlight w:val="none"/>
              </w:rPr>
            </w:pPr>
            <w:r>
              <w:rPr>
                <w:rFonts w:hint="eastAsia" w:ascii="宋体" w:hAnsi="宋体"/>
                <w:szCs w:val="21"/>
                <w:highlight w:val="none"/>
              </w:rPr>
              <w:t>棕纤维弹性床垫</w:t>
            </w:r>
          </w:p>
        </w:tc>
        <w:tc>
          <w:tcPr>
            <w:tcW w:w="3966" w:type="dxa"/>
            <w:vAlign w:val="center"/>
          </w:tcPr>
          <w:p>
            <w:pPr>
              <w:jc w:val="center"/>
              <w:rPr>
                <w:rFonts w:ascii="宋体" w:hAnsi="宋体"/>
                <w:szCs w:val="21"/>
                <w:highlight w:val="none"/>
              </w:rPr>
            </w:pPr>
            <w:r>
              <w:rPr>
                <w:rFonts w:hint="eastAsia" w:ascii="宋体" w:hAnsi="宋体"/>
                <w:szCs w:val="21"/>
                <w:highlight w:val="none"/>
              </w:rPr>
              <w:t>GB/T 26706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11</w:t>
            </w:r>
          </w:p>
        </w:tc>
        <w:tc>
          <w:tcPr>
            <w:tcW w:w="3067" w:type="dxa"/>
            <w:vAlign w:val="center"/>
          </w:tcPr>
          <w:p>
            <w:pPr>
              <w:jc w:val="center"/>
              <w:rPr>
                <w:rFonts w:ascii="宋体" w:hAnsi="宋体"/>
                <w:szCs w:val="21"/>
                <w:highlight w:val="none"/>
              </w:rPr>
            </w:pPr>
            <w:r>
              <w:rPr>
                <w:rFonts w:hint="eastAsia" w:ascii="宋体" w:hAnsi="宋体"/>
                <w:szCs w:val="21"/>
                <w:highlight w:val="none"/>
              </w:rPr>
              <w:t>儿童家具</w:t>
            </w:r>
          </w:p>
        </w:tc>
        <w:tc>
          <w:tcPr>
            <w:tcW w:w="3966" w:type="dxa"/>
            <w:vAlign w:val="center"/>
          </w:tcPr>
          <w:p>
            <w:pPr>
              <w:jc w:val="center"/>
              <w:rPr>
                <w:rFonts w:ascii="宋体" w:hAnsi="宋体"/>
                <w:szCs w:val="21"/>
                <w:highlight w:val="none"/>
              </w:rPr>
            </w:pPr>
            <w:r>
              <w:rPr>
                <w:rFonts w:hint="eastAsia" w:ascii="宋体" w:hAnsi="宋体"/>
                <w:szCs w:val="21"/>
                <w:highlight w:val="none"/>
              </w:rPr>
              <w:t>GB 28007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12</w:t>
            </w:r>
          </w:p>
        </w:tc>
        <w:tc>
          <w:tcPr>
            <w:tcW w:w="3067" w:type="dxa"/>
            <w:vAlign w:val="center"/>
          </w:tcPr>
          <w:p>
            <w:pPr>
              <w:jc w:val="center"/>
              <w:rPr>
                <w:rFonts w:ascii="宋体" w:hAnsi="宋体"/>
                <w:szCs w:val="21"/>
                <w:highlight w:val="none"/>
              </w:rPr>
            </w:pPr>
            <w:r>
              <w:rPr>
                <w:rFonts w:hint="eastAsia" w:ascii="宋体" w:hAnsi="宋体"/>
                <w:szCs w:val="21"/>
                <w:highlight w:val="none"/>
              </w:rPr>
              <w:t>玻璃家具</w:t>
            </w:r>
          </w:p>
        </w:tc>
        <w:tc>
          <w:tcPr>
            <w:tcW w:w="3966" w:type="dxa"/>
            <w:vAlign w:val="center"/>
          </w:tcPr>
          <w:p>
            <w:pPr>
              <w:jc w:val="center"/>
              <w:rPr>
                <w:rFonts w:ascii="宋体" w:hAnsi="宋体"/>
                <w:szCs w:val="21"/>
                <w:highlight w:val="none"/>
              </w:rPr>
            </w:pPr>
            <w:r>
              <w:rPr>
                <w:rFonts w:hint="eastAsia" w:ascii="宋体" w:hAnsi="宋体"/>
                <w:szCs w:val="21"/>
                <w:highlight w:val="none"/>
              </w:rPr>
              <w:t>GB 28008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13</w:t>
            </w:r>
          </w:p>
        </w:tc>
        <w:tc>
          <w:tcPr>
            <w:tcW w:w="3067" w:type="dxa"/>
            <w:vAlign w:val="center"/>
          </w:tcPr>
          <w:p>
            <w:pPr>
              <w:jc w:val="center"/>
              <w:rPr>
                <w:rFonts w:ascii="宋体" w:hAnsi="宋体"/>
                <w:szCs w:val="21"/>
                <w:highlight w:val="none"/>
              </w:rPr>
            </w:pPr>
            <w:r>
              <w:rPr>
                <w:rFonts w:hint="eastAsia" w:ascii="宋体" w:hAnsi="宋体"/>
                <w:szCs w:val="21"/>
                <w:highlight w:val="none"/>
              </w:rPr>
              <w:t>红木家具</w:t>
            </w:r>
          </w:p>
        </w:tc>
        <w:tc>
          <w:tcPr>
            <w:tcW w:w="3966" w:type="dxa"/>
            <w:vAlign w:val="center"/>
          </w:tcPr>
          <w:p>
            <w:pPr>
              <w:jc w:val="center"/>
              <w:rPr>
                <w:rFonts w:ascii="宋体" w:hAnsi="宋体"/>
                <w:szCs w:val="21"/>
                <w:highlight w:val="none"/>
              </w:rPr>
            </w:pPr>
            <w:r>
              <w:rPr>
                <w:rFonts w:hint="eastAsia" w:ascii="宋体" w:hAnsi="宋体"/>
                <w:szCs w:val="21"/>
                <w:highlight w:val="none"/>
              </w:rPr>
              <w:t>GB 28010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14</w:t>
            </w:r>
          </w:p>
        </w:tc>
        <w:tc>
          <w:tcPr>
            <w:tcW w:w="3067" w:type="dxa"/>
            <w:vAlign w:val="center"/>
          </w:tcPr>
          <w:p>
            <w:pPr>
              <w:jc w:val="center"/>
              <w:rPr>
                <w:rFonts w:ascii="宋体" w:hAnsi="宋体"/>
                <w:szCs w:val="21"/>
                <w:highlight w:val="none"/>
              </w:rPr>
            </w:pPr>
            <w:r>
              <w:rPr>
                <w:rFonts w:hint="eastAsia" w:ascii="宋体" w:hAnsi="宋体"/>
                <w:szCs w:val="21"/>
                <w:highlight w:val="none"/>
              </w:rPr>
              <w:t>塑料家具</w:t>
            </w:r>
          </w:p>
        </w:tc>
        <w:tc>
          <w:tcPr>
            <w:tcW w:w="3966" w:type="dxa"/>
            <w:vAlign w:val="center"/>
          </w:tcPr>
          <w:p>
            <w:pPr>
              <w:jc w:val="center"/>
              <w:rPr>
                <w:rFonts w:ascii="宋体" w:hAnsi="宋体"/>
                <w:szCs w:val="21"/>
                <w:highlight w:val="none"/>
              </w:rPr>
            </w:pPr>
            <w:r>
              <w:rPr>
                <w:rFonts w:hint="eastAsia" w:ascii="宋体" w:hAnsi="宋体"/>
                <w:szCs w:val="21"/>
                <w:highlight w:val="none"/>
              </w:rPr>
              <w:t>GB/T 32487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15</w:t>
            </w:r>
          </w:p>
        </w:tc>
        <w:tc>
          <w:tcPr>
            <w:tcW w:w="3067" w:type="dxa"/>
            <w:vAlign w:val="center"/>
          </w:tcPr>
          <w:p>
            <w:pPr>
              <w:jc w:val="center"/>
              <w:rPr>
                <w:rFonts w:ascii="宋体" w:hAnsi="宋体"/>
                <w:szCs w:val="21"/>
                <w:highlight w:val="none"/>
              </w:rPr>
            </w:pPr>
            <w:r>
              <w:rPr>
                <w:rFonts w:hint="eastAsia" w:ascii="宋体" w:hAnsi="宋体"/>
                <w:szCs w:val="21"/>
                <w:highlight w:val="none"/>
              </w:rPr>
              <w:t>竹家具</w:t>
            </w:r>
          </w:p>
        </w:tc>
        <w:tc>
          <w:tcPr>
            <w:tcW w:w="3966" w:type="dxa"/>
            <w:vAlign w:val="center"/>
          </w:tcPr>
          <w:p>
            <w:pPr>
              <w:jc w:val="center"/>
              <w:rPr>
                <w:rFonts w:ascii="宋体" w:hAnsi="宋体"/>
                <w:szCs w:val="21"/>
                <w:highlight w:val="none"/>
              </w:rPr>
            </w:pPr>
            <w:r>
              <w:rPr>
                <w:rFonts w:hint="eastAsia" w:ascii="宋体" w:hAnsi="宋体"/>
                <w:szCs w:val="21"/>
                <w:highlight w:val="none"/>
              </w:rPr>
              <w:t>GB/T 32444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16</w:t>
            </w:r>
          </w:p>
        </w:tc>
        <w:tc>
          <w:tcPr>
            <w:tcW w:w="3067" w:type="dxa"/>
            <w:vAlign w:val="center"/>
          </w:tcPr>
          <w:p>
            <w:pPr>
              <w:jc w:val="center"/>
              <w:rPr>
                <w:rFonts w:ascii="宋体" w:hAnsi="宋体"/>
                <w:szCs w:val="21"/>
                <w:highlight w:val="none"/>
              </w:rPr>
            </w:pPr>
            <w:r>
              <w:rPr>
                <w:rFonts w:hint="eastAsia" w:ascii="宋体" w:hAnsi="宋体"/>
                <w:szCs w:val="21"/>
                <w:highlight w:val="none"/>
              </w:rPr>
              <w:t>室内用石材家具</w:t>
            </w:r>
          </w:p>
        </w:tc>
        <w:tc>
          <w:tcPr>
            <w:tcW w:w="3966" w:type="dxa"/>
            <w:vAlign w:val="center"/>
          </w:tcPr>
          <w:p>
            <w:pPr>
              <w:jc w:val="center"/>
              <w:rPr>
                <w:rFonts w:ascii="宋体" w:hAnsi="宋体"/>
                <w:szCs w:val="21"/>
                <w:highlight w:val="none"/>
              </w:rPr>
            </w:pPr>
            <w:r>
              <w:rPr>
                <w:rFonts w:hint="eastAsia" w:ascii="宋体" w:hAnsi="宋体"/>
                <w:szCs w:val="21"/>
                <w:highlight w:val="none"/>
              </w:rPr>
              <w:t>GB/T 33282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17</w:t>
            </w:r>
          </w:p>
        </w:tc>
        <w:tc>
          <w:tcPr>
            <w:tcW w:w="3067" w:type="dxa"/>
            <w:vAlign w:val="center"/>
          </w:tcPr>
          <w:p>
            <w:pPr>
              <w:jc w:val="center"/>
              <w:rPr>
                <w:rFonts w:ascii="宋体" w:hAnsi="宋体"/>
                <w:szCs w:val="21"/>
                <w:highlight w:val="none"/>
              </w:rPr>
            </w:pPr>
            <w:r>
              <w:rPr>
                <w:rFonts w:hint="eastAsia" w:ascii="宋体" w:hAnsi="宋体"/>
                <w:szCs w:val="21"/>
                <w:highlight w:val="none"/>
              </w:rPr>
              <w:t>钢制文件柜</w:t>
            </w:r>
          </w:p>
        </w:tc>
        <w:tc>
          <w:tcPr>
            <w:tcW w:w="3966" w:type="dxa"/>
            <w:vAlign w:val="center"/>
          </w:tcPr>
          <w:p>
            <w:pPr>
              <w:jc w:val="center"/>
              <w:rPr>
                <w:rFonts w:ascii="宋体" w:hAnsi="宋体"/>
                <w:szCs w:val="21"/>
                <w:highlight w:val="none"/>
              </w:rPr>
            </w:pPr>
            <w:r>
              <w:rPr>
                <w:rFonts w:hint="eastAsia" w:ascii="宋体" w:hAnsi="宋体"/>
                <w:szCs w:val="21"/>
                <w:highlight w:val="none"/>
              </w:rPr>
              <w:t>QB/T 1097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18</w:t>
            </w:r>
          </w:p>
        </w:tc>
        <w:tc>
          <w:tcPr>
            <w:tcW w:w="3067" w:type="dxa"/>
            <w:vAlign w:val="center"/>
          </w:tcPr>
          <w:p>
            <w:pPr>
              <w:jc w:val="center"/>
              <w:rPr>
                <w:rFonts w:ascii="宋体" w:hAnsi="宋体"/>
                <w:szCs w:val="21"/>
                <w:highlight w:val="none"/>
              </w:rPr>
            </w:pPr>
            <w:r>
              <w:rPr>
                <w:rFonts w:hint="eastAsia" w:ascii="宋体" w:hAnsi="宋体"/>
                <w:szCs w:val="21"/>
                <w:highlight w:val="none"/>
              </w:rPr>
              <w:t>沙发</w:t>
            </w:r>
          </w:p>
        </w:tc>
        <w:tc>
          <w:tcPr>
            <w:tcW w:w="3966" w:type="dxa"/>
            <w:vAlign w:val="center"/>
          </w:tcPr>
          <w:p>
            <w:pPr>
              <w:jc w:val="center"/>
              <w:rPr>
                <w:rFonts w:ascii="宋体" w:hAnsi="宋体"/>
                <w:szCs w:val="21"/>
                <w:highlight w:val="none"/>
              </w:rPr>
            </w:pPr>
            <w:r>
              <w:rPr>
                <w:rFonts w:hint="eastAsia" w:ascii="宋体" w:hAnsi="宋体"/>
                <w:szCs w:val="21"/>
                <w:highlight w:val="none"/>
              </w:rPr>
              <w:t>QB/T 1952.1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19</w:t>
            </w:r>
          </w:p>
        </w:tc>
        <w:tc>
          <w:tcPr>
            <w:tcW w:w="3067" w:type="dxa"/>
            <w:vAlign w:val="center"/>
          </w:tcPr>
          <w:p>
            <w:pPr>
              <w:jc w:val="center"/>
              <w:rPr>
                <w:rFonts w:ascii="宋体" w:hAnsi="宋体"/>
                <w:szCs w:val="21"/>
                <w:highlight w:val="none"/>
              </w:rPr>
            </w:pPr>
            <w:r>
              <w:rPr>
                <w:rFonts w:hint="eastAsia" w:ascii="宋体" w:hAnsi="宋体"/>
                <w:szCs w:val="21"/>
                <w:highlight w:val="none"/>
              </w:rPr>
              <w:t>弹簧软床垫</w:t>
            </w:r>
          </w:p>
        </w:tc>
        <w:tc>
          <w:tcPr>
            <w:tcW w:w="3966" w:type="dxa"/>
            <w:vAlign w:val="center"/>
          </w:tcPr>
          <w:p>
            <w:pPr>
              <w:jc w:val="center"/>
              <w:rPr>
                <w:rFonts w:ascii="宋体" w:hAnsi="宋体"/>
                <w:szCs w:val="21"/>
                <w:highlight w:val="none"/>
              </w:rPr>
            </w:pPr>
            <w:r>
              <w:rPr>
                <w:rFonts w:hint="eastAsia" w:ascii="宋体" w:hAnsi="宋体"/>
                <w:szCs w:val="21"/>
                <w:highlight w:val="none"/>
              </w:rPr>
              <w:t>QB/T 1952.2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20</w:t>
            </w:r>
          </w:p>
        </w:tc>
        <w:tc>
          <w:tcPr>
            <w:tcW w:w="3067" w:type="dxa"/>
            <w:vAlign w:val="center"/>
          </w:tcPr>
          <w:p>
            <w:pPr>
              <w:jc w:val="center"/>
              <w:rPr>
                <w:rFonts w:ascii="宋体" w:hAnsi="宋体"/>
                <w:szCs w:val="21"/>
                <w:highlight w:val="none"/>
              </w:rPr>
            </w:pPr>
            <w:r>
              <w:rPr>
                <w:rFonts w:hint="eastAsia" w:ascii="宋体" w:hAnsi="宋体"/>
                <w:szCs w:val="21"/>
                <w:highlight w:val="none"/>
              </w:rPr>
              <w:t>办公椅</w:t>
            </w:r>
          </w:p>
        </w:tc>
        <w:tc>
          <w:tcPr>
            <w:tcW w:w="3966" w:type="dxa"/>
            <w:vAlign w:val="center"/>
          </w:tcPr>
          <w:p>
            <w:pPr>
              <w:jc w:val="center"/>
              <w:rPr>
                <w:rFonts w:ascii="宋体" w:hAnsi="宋体"/>
                <w:szCs w:val="21"/>
                <w:highlight w:val="none"/>
              </w:rPr>
            </w:pPr>
            <w:r>
              <w:rPr>
                <w:rFonts w:hint="eastAsia" w:ascii="宋体" w:hAnsi="宋体"/>
                <w:szCs w:val="21"/>
                <w:highlight w:val="none"/>
              </w:rPr>
              <w:t>QB/T 2280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21</w:t>
            </w:r>
          </w:p>
        </w:tc>
        <w:tc>
          <w:tcPr>
            <w:tcW w:w="3067" w:type="dxa"/>
            <w:vAlign w:val="center"/>
          </w:tcPr>
          <w:p>
            <w:pPr>
              <w:jc w:val="center"/>
              <w:rPr>
                <w:rFonts w:ascii="宋体" w:hAnsi="宋体"/>
                <w:szCs w:val="21"/>
                <w:highlight w:val="none"/>
              </w:rPr>
            </w:pPr>
            <w:r>
              <w:rPr>
                <w:rFonts w:hint="eastAsia" w:ascii="宋体" w:hAnsi="宋体"/>
                <w:szCs w:val="21"/>
                <w:highlight w:val="none"/>
              </w:rPr>
              <w:t>木制写字桌</w:t>
            </w:r>
          </w:p>
        </w:tc>
        <w:tc>
          <w:tcPr>
            <w:tcW w:w="3966" w:type="dxa"/>
            <w:vAlign w:val="center"/>
          </w:tcPr>
          <w:p>
            <w:pPr>
              <w:jc w:val="center"/>
              <w:rPr>
                <w:rFonts w:ascii="宋体" w:hAnsi="宋体"/>
                <w:szCs w:val="21"/>
                <w:highlight w:val="none"/>
              </w:rPr>
            </w:pPr>
            <w:r>
              <w:rPr>
                <w:rFonts w:hint="eastAsia" w:ascii="宋体" w:hAnsi="宋体"/>
                <w:szCs w:val="21"/>
                <w:highlight w:val="none"/>
              </w:rPr>
              <w:t>QB/T 2384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22</w:t>
            </w:r>
          </w:p>
        </w:tc>
        <w:tc>
          <w:tcPr>
            <w:tcW w:w="3067" w:type="dxa"/>
            <w:vAlign w:val="center"/>
          </w:tcPr>
          <w:p>
            <w:pPr>
              <w:jc w:val="center"/>
              <w:rPr>
                <w:rFonts w:ascii="宋体" w:hAnsi="宋体"/>
                <w:szCs w:val="21"/>
                <w:highlight w:val="none"/>
              </w:rPr>
            </w:pPr>
            <w:r>
              <w:rPr>
                <w:rFonts w:hint="eastAsia" w:ascii="宋体" w:hAnsi="宋体"/>
                <w:szCs w:val="21"/>
                <w:highlight w:val="none"/>
              </w:rPr>
              <w:t>深色名贵硬木家具</w:t>
            </w:r>
          </w:p>
        </w:tc>
        <w:tc>
          <w:tcPr>
            <w:tcW w:w="3966" w:type="dxa"/>
            <w:vAlign w:val="center"/>
          </w:tcPr>
          <w:p>
            <w:pPr>
              <w:jc w:val="center"/>
              <w:rPr>
                <w:rFonts w:ascii="宋体" w:hAnsi="宋体"/>
                <w:szCs w:val="21"/>
                <w:highlight w:val="none"/>
              </w:rPr>
            </w:pPr>
            <w:r>
              <w:rPr>
                <w:rFonts w:hint="eastAsia" w:ascii="宋体" w:hAnsi="宋体"/>
                <w:szCs w:val="21"/>
                <w:highlight w:val="none"/>
              </w:rPr>
              <w:t>QB/T 2385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23</w:t>
            </w:r>
          </w:p>
        </w:tc>
        <w:tc>
          <w:tcPr>
            <w:tcW w:w="3067" w:type="dxa"/>
            <w:vAlign w:val="center"/>
          </w:tcPr>
          <w:p>
            <w:pPr>
              <w:jc w:val="center"/>
              <w:rPr>
                <w:rFonts w:ascii="宋体" w:hAnsi="宋体"/>
                <w:szCs w:val="21"/>
                <w:highlight w:val="none"/>
              </w:rPr>
            </w:pPr>
            <w:r>
              <w:rPr>
                <w:rFonts w:hint="eastAsia" w:ascii="宋体" w:hAnsi="宋体"/>
                <w:szCs w:val="21"/>
                <w:highlight w:val="none"/>
              </w:rPr>
              <w:t>童床和折叠小床</w:t>
            </w:r>
          </w:p>
        </w:tc>
        <w:tc>
          <w:tcPr>
            <w:tcW w:w="3966" w:type="dxa"/>
            <w:vAlign w:val="center"/>
          </w:tcPr>
          <w:p>
            <w:pPr>
              <w:jc w:val="center"/>
              <w:rPr>
                <w:rFonts w:ascii="宋体" w:hAnsi="宋体"/>
                <w:szCs w:val="21"/>
                <w:highlight w:val="none"/>
              </w:rPr>
            </w:pPr>
            <w:r>
              <w:rPr>
                <w:rFonts w:hint="eastAsia" w:ascii="宋体" w:hAnsi="宋体"/>
                <w:szCs w:val="21"/>
                <w:highlight w:val="none"/>
              </w:rPr>
              <w:t>QB 2453.1、QB/T 2453.2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24</w:t>
            </w:r>
          </w:p>
        </w:tc>
        <w:tc>
          <w:tcPr>
            <w:tcW w:w="3067" w:type="dxa"/>
            <w:vAlign w:val="center"/>
          </w:tcPr>
          <w:p>
            <w:pPr>
              <w:jc w:val="center"/>
              <w:rPr>
                <w:rFonts w:ascii="宋体" w:hAnsi="宋体"/>
                <w:szCs w:val="21"/>
                <w:highlight w:val="none"/>
              </w:rPr>
            </w:pPr>
            <w:r>
              <w:rPr>
                <w:rFonts w:hint="eastAsia" w:ascii="宋体" w:hAnsi="宋体"/>
                <w:szCs w:val="21"/>
                <w:highlight w:val="none"/>
              </w:rPr>
              <w:t>木制柜</w:t>
            </w:r>
          </w:p>
        </w:tc>
        <w:tc>
          <w:tcPr>
            <w:tcW w:w="3966" w:type="dxa"/>
            <w:vAlign w:val="center"/>
          </w:tcPr>
          <w:p>
            <w:pPr>
              <w:jc w:val="center"/>
              <w:rPr>
                <w:rFonts w:ascii="宋体" w:hAnsi="宋体"/>
                <w:szCs w:val="21"/>
                <w:highlight w:val="none"/>
              </w:rPr>
            </w:pPr>
            <w:r>
              <w:rPr>
                <w:rFonts w:hint="eastAsia" w:ascii="宋体" w:hAnsi="宋体"/>
                <w:szCs w:val="21"/>
                <w:highlight w:val="none"/>
              </w:rPr>
              <w:t>QB/T 2530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25</w:t>
            </w:r>
          </w:p>
        </w:tc>
        <w:tc>
          <w:tcPr>
            <w:tcW w:w="3067" w:type="dxa"/>
            <w:vAlign w:val="center"/>
          </w:tcPr>
          <w:p>
            <w:pPr>
              <w:jc w:val="center"/>
              <w:rPr>
                <w:rFonts w:ascii="宋体" w:hAnsi="宋体"/>
                <w:szCs w:val="21"/>
                <w:highlight w:val="none"/>
              </w:rPr>
            </w:pPr>
            <w:r>
              <w:rPr>
                <w:rFonts w:hint="eastAsia" w:ascii="宋体" w:hAnsi="宋体"/>
                <w:szCs w:val="21"/>
                <w:highlight w:val="none"/>
              </w:rPr>
              <w:t>厨房家具</w:t>
            </w:r>
          </w:p>
        </w:tc>
        <w:tc>
          <w:tcPr>
            <w:tcW w:w="3966" w:type="dxa"/>
            <w:vAlign w:val="center"/>
          </w:tcPr>
          <w:p>
            <w:pPr>
              <w:jc w:val="center"/>
              <w:rPr>
                <w:rFonts w:ascii="宋体" w:hAnsi="宋体"/>
                <w:szCs w:val="21"/>
                <w:highlight w:val="none"/>
              </w:rPr>
            </w:pPr>
            <w:r>
              <w:rPr>
                <w:rFonts w:hint="eastAsia" w:ascii="宋体" w:hAnsi="宋体"/>
                <w:szCs w:val="21"/>
                <w:highlight w:val="none"/>
              </w:rPr>
              <w:t>QB/T 2531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26</w:t>
            </w:r>
          </w:p>
        </w:tc>
        <w:tc>
          <w:tcPr>
            <w:tcW w:w="3067" w:type="dxa"/>
            <w:vAlign w:val="center"/>
          </w:tcPr>
          <w:p>
            <w:pPr>
              <w:jc w:val="center"/>
              <w:rPr>
                <w:rFonts w:ascii="宋体" w:hAnsi="宋体"/>
                <w:szCs w:val="21"/>
                <w:highlight w:val="none"/>
              </w:rPr>
            </w:pPr>
            <w:r>
              <w:rPr>
                <w:rFonts w:hint="eastAsia" w:ascii="宋体" w:hAnsi="宋体"/>
                <w:szCs w:val="21"/>
                <w:highlight w:val="none"/>
              </w:rPr>
              <w:t>影剧院公共座椅</w:t>
            </w:r>
          </w:p>
        </w:tc>
        <w:tc>
          <w:tcPr>
            <w:tcW w:w="3966" w:type="dxa"/>
            <w:vAlign w:val="center"/>
          </w:tcPr>
          <w:p>
            <w:pPr>
              <w:jc w:val="center"/>
              <w:rPr>
                <w:rFonts w:ascii="宋体" w:hAnsi="宋体"/>
                <w:szCs w:val="21"/>
                <w:highlight w:val="none"/>
              </w:rPr>
            </w:pPr>
            <w:r>
              <w:rPr>
                <w:rFonts w:hint="eastAsia" w:ascii="宋体" w:hAnsi="宋体"/>
                <w:szCs w:val="21"/>
                <w:highlight w:val="none"/>
              </w:rPr>
              <w:t>QB/T 2602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27</w:t>
            </w:r>
          </w:p>
        </w:tc>
        <w:tc>
          <w:tcPr>
            <w:tcW w:w="3067" w:type="dxa"/>
            <w:vAlign w:val="center"/>
          </w:tcPr>
          <w:p>
            <w:pPr>
              <w:jc w:val="center"/>
              <w:rPr>
                <w:rFonts w:ascii="宋体" w:hAnsi="宋体"/>
                <w:szCs w:val="21"/>
                <w:highlight w:val="none"/>
              </w:rPr>
            </w:pPr>
            <w:r>
              <w:rPr>
                <w:rFonts w:hint="eastAsia" w:ascii="宋体" w:hAnsi="宋体"/>
                <w:szCs w:val="21"/>
                <w:highlight w:val="none"/>
              </w:rPr>
              <w:t>木制宾馆家具</w:t>
            </w:r>
          </w:p>
        </w:tc>
        <w:tc>
          <w:tcPr>
            <w:tcW w:w="3966" w:type="dxa"/>
            <w:vAlign w:val="center"/>
          </w:tcPr>
          <w:p>
            <w:pPr>
              <w:jc w:val="center"/>
              <w:rPr>
                <w:rFonts w:ascii="宋体" w:hAnsi="宋体"/>
                <w:szCs w:val="21"/>
                <w:highlight w:val="none"/>
              </w:rPr>
            </w:pPr>
            <w:r>
              <w:rPr>
                <w:rFonts w:hint="eastAsia" w:ascii="宋体" w:hAnsi="宋体"/>
                <w:szCs w:val="21"/>
                <w:highlight w:val="none"/>
              </w:rPr>
              <w:t>QB/T 2603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28</w:t>
            </w:r>
          </w:p>
        </w:tc>
        <w:tc>
          <w:tcPr>
            <w:tcW w:w="3067" w:type="dxa"/>
            <w:vAlign w:val="center"/>
          </w:tcPr>
          <w:p>
            <w:pPr>
              <w:jc w:val="center"/>
              <w:rPr>
                <w:rFonts w:ascii="宋体" w:hAnsi="宋体"/>
                <w:szCs w:val="21"/>
                <w:highlight w:val="none"/>
              </w:rPr>
            </w:pPr>
            <w:r>
              <w:rPr>
                <w:rFonts w:hint="eastAsia" w:ascii="宋体" w:hAnsi="宋体"/>
                <w:szCs w:val="21"/>
                <w:highlight w:val="none"/>
              </w:rPr>
              <w:t>学生公寓多功能家具</w:t>
            </w:r>
          </w:p>
        </w:tc>
        <w:tc>
          <w:tcPr>
            <w:tcW w:w="3966" w:type="dxa"/>
            <w:vAlign w:val="center"/>
          </w:tcPr>
          <w:p>
            <w:pPr>
              <w:jc w:val="center"/>
              <w:rPr>
                <w:rFonts w:ascii="宋体" w:hAnsi="宋体"/>
                <w:szCs w:val="21"/>
                <w:highlight w:val="none"/>
              </w:rPr>
            </w:pPr>
            <w:r>
              <w:rPr>
                <w:rFonts w:hint="eastAsia" w:ascii="宋体" w:hAnsi="宋体"/>
                <w:szCs w:val="21"/>
                <w:highlight w:val="none"/>
              </w:rPr>
              <w:t>QB/T 2741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29</w:t>
            </w:r>
          </w:p>
        </w:tc>
        <w:tc>
          <w:tcPr>
            <w:tcW w:w="3067" w:type="dxa"/>
            <w:vAlign w:val="center"/>
          </w:tcPr>
          <w:p>
            <w:pPr>
              <w:jc w:val="center"/>
              <w:rPr>
                <w:rFonts w:ascii="宋体" w:hAnsi="宋体"/>
                <w:szCs w:val="21"/>
                <w:highlight w:val="none"/>
              </w:rPr>
            </w:pPr>
            <w:r>
              <w:rPr>
                <w:rFonts w:hint="eastAsia" w:ascii="宋体" w:hAnsi="宋体"/>
                <w:szCs w:val="21"/>
                <w:highlight w:val="none"/>
              </w:rPr>
              <w:t>课桌椅</w:t>
            </w:r>
          </w:p>
        </w:tc>
        <w:tc>
          <w:tcPr>
            <w:tcW w:w="3966" w:type="dxa"/>
            <w:vAlign w:val="center"/>
          </w:tcPr>
          <w:p>
            <w:pPr>
              <w:jc w:val="center"/>
              <w:rPr>
                <w:rFonts w:ascii="宋体" w:hAnsi="宋体"/>
                <w:szCs w:val="21"/>
                <w:highlight w:val="none"/>
              </w:rPr>
            </w:pPr>
            <w:r>
              <w:rPr>
                <w:rFonts w:hint="eastAsia" w:ascii="宋体" w:hAnsi="宋体"/>
                <w:szCs w:val="21"/>
                <w:highlight w:val="none"/>
              </w:rPr>
              <w:t>QB/T 4071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30</w:t>
            </w:r>
          </w:p>
        </w:tc>
        <w:tc>
          <w:tcPr>
            <w:tcW w:w="3067" w:type="dxa"/>
            <w:vAlign w:val="center"/>
          </w:tcPr>
          <w:p>
            <w:pPr>
              <w:jc w:val="center"/>
              <w:rPr>
                <w:rFonts w:ascii="宋体" w:hAnsi="宋体"/>
                <w:szCs w:val="21"/>
                <w:highlight w:val="none"/>
              </w:rPr>
            </w:pPr>
            <w:r>
              <w:rPr>
                <w:rFonts w:hint="eastAsia" w:ascii="宋体" w:hAnsi="宋体"/>
                <w:szCs w:val="21"/>
                <w:highlight w:val="none"/>
              </w:rPr>
              <w:t>办公家具 电脑桌</w:t>
            </w:r>
          </w:p>
        </w:tc>
        <w:tc>
          <w:tcPr>
            <w:tcW w:w="3966" w:type="dxa"/>
            <w:vAlign w:val="center"/>
          </w:tcPr>
          <w:p>
            <w:pPr>
              <w:jc w:val="center"/>
              <w:rPr>
                <w:rFonts w:ascii="宋体" w:hAnsi="宋体"/>
                <w:szCs w:val="21"/>
                <w:highlight w:val="none"/>
              </w:rPr>
            </w:pPr>
            <w:r>
              <w:rPr>
                <w:rFonts w:hint="eastAsia" w:ascii="宋体" w:hAnsi="宋体"/>
                <w:szCs w:val="21"/>
                <w:highlight w:val="none"/>
              </w:rPr>
              <w:t>QB/T 4156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31</w:t>
            </w:r>
          </w:p>
        </w:tc>
        <w:tc>
          <w:tcPr>
            <w:tcW w:w="3067" w:type="dxa"/>
            <w:vAlign w:val="center"/>
          </w:tcPr>
          <w:p>
            <w:pPr>
              <w:jc w:val="center"/>
              <w:rPr>
                <w:rFonts w:ascii="宋体" w:hAnsi="宋体"/>
                <w:szCs w:val="21"/>
                <w:highlight w:val="none"/>
              </w:rPr>
            </w:pPr>
            <w:r>
              <w:rPr>
                <w:rFonts w:hint="eastAsia" w:ascii="宋体" w:hAnsi="宋体"/>
                <w:szCs w:val="21"/>
                <w:highlight w:val="none"/>
              </w:rPr>
              <w:t>软体床</w:t>
            </w:r>
          </w:p>
        </w:tc>
        <w:tc>
          <w:tcPr>
            <w:tcW w:w="3966" w:type="dxa"/>
            <w:vAlign w:val="center"/>
          </w:tcPr>
          <w:p>
            <w:pPr>
              <w:jc w:val="center"/>
              <w:rPr>
                <w:rFonts w:ascii="宋体" w:hAnsi="宋体"/>
                <w:szCs w:val="21"/>
                <w:highlight w:val="none"/>
              </w:rPr>
            </w:pPr>
            <w:r>
              <w:rPr>
                <w:rFonts w:hint="eastAsia" w:ascii="宋体" w:hAnsi="宋体"/>
                <w:szCs w:val="21"/>
                <w:highlight w:val="none"/>
              </w:rPr>
              <w:t>QB/T 4190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32</w:t>
            </w:r>
          </w:p>
        </w:tc>
        <w:tc>
          <w:tcPr>
            <w:tcW w:w="3067" w:type="dxa"/>
            <w:vAlign w:val="center"/>
          </w:tcPr>
          <w:p>
            <w:pPr>
              <w:jc w:val="center"/>
              <w:rPr>
                <w:rFonts w:ascii="宋体" w:hAnsi="宋体"/>
                <w:szCs w:val="21"/>
                <w:highlight w:val="none"/>
              </w:rPr>
            </w:pPr>
            <w:r>
              <w:rPr>
                <w:rFonts w:hint="eastAsia" w:ascii="宋体" w:hAnsi="宋体"/>
                <w:szCs w:val="21"/>
                <w:highlight w:val="none"/>
              </w:rPr>
              <w:t>吧椅</w:t>
            </w:r>
          </w:p>
        </w:tc>
        <w:tc>
          <w:tcPr>
            <w:tcW w:w="3966" w:type="dxa"/>
            <w:vAlign w:val="center"/>
          </w:tcPr>
          <w:p>
            <w:pPr>
              <w:jc w:val="center"/>
              <w:rPr>
                <w:rFonts w:ascii="宋体" w:hAnsi="宋体"/>
                <w:szCs w:val="21"/>
                <w:highlight w:val="none"/>
              </w:rPr>
            </w:pPr>
            <w:r>
              <w:rPr>
                <w:rFonts w:hint="eastAsia" w:ascii="宋体" w:hAnsi="宋体"/>
                <w:szCs w:val="21"/>
                <w:highlight w:val="none"/>
              </w:rPr>
              <w:t>QB/T 4670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33</w:t>
            </w:r>
          </w:p>
        </w:tc>
        <w:tc>
          <w:tcPr>
            <w:tcW w:w="3067" w:type="dxa"/>
            <w:vAlign w:val="center"/>
          </w:tcPr>
          <w:p>
            <w:pPr>
              <w:jc w:val="center"/>
              <w:rPr>
                <w:rFonts w:ascii="宋体" w:hAnsi="宋体"/>
                <w:szCs w:val="21"/>
                <w:highlight w:val="none"/>
              </w:rPr>
            </w:pPr>
            <w:r>
              <w:rPr>
                <w:rFonts w:hint="eastAsia" w:ascii="宋体" w:hAnsi="宋体"/>
                <w:szCs w:val="21"/>
                <w:highlight w:val="none"/>
              </w:rPr>
              <w:t>软体家具 发泡型床垫</w:t>
            </w:r>
          </w:p>
        </w:tc>
        <w:tc>
          <w:tcPr>
            <w:tcW w:w="3966" w:type="dxa"/>
            <w:vAlign w:val="center"/>
          </w:tcPr>
          <w:p>
            <w:pPr>
              <w:jc w:val="center"/>
              <w:rPr>
                <w:rFonts w:ascii="宋体" w:hAnsi="宋体"/>
                <w:szCs w:val="21"/>
                <w:highlight w:val="none"/>
              </w:rPr>
            </w:pPr>
            <w:r>
              <w:rPr>
                <w:rFonts w:hint="eastAsia" w:ascii="宋体" w:hAnsi="宋体"/>
                <w:szCs w:val="21"/>
                <w:highlight w:val="none"/>
              </w:rPr>
              <w:t>QB/T 4839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34</w:t>
            </w:r>
          </w:p>
        </w:tc>
        <w:tc>
          <w:tcPr>
            <w:tcW w:w="3067" w:type="dxa"/>
            <w:vAlign w:val="center"/>
          </w:tcPr>
          <w:p>
            <w:pPr>
              <w:jc w:val="center"/>
              <w:rPr>
                <w:rFonts w:ascii="宋体" w:hAnsi="宋体"/>
                <w:szCs w:val="21"/>
                <w:highlight w:val="none"/>
              </w:rPr>
            </w:pPr>
            <w:r>
              <w:rPr>
                <w:rFonts w:hint="eastAsia" w:ascii="宋体" w:hAnsi="宋体"/>
                <w:szCs w:val="21"/>
                <w:highlight w:val="none"/>
              </w:rPr>
              <w:t xml:space="preserve"> 鞋柜</w:t>
            </w:r>
          </w:p>
        </w:tc>
        <w:tc>
          <w:tcPr>
            <w:tcW w:w="3966" w:type="dxa"/>
            <w:vAlign w:val="center"/>
          </w:tcPr>
          <w:p>
            <w:pPr>
              <w:jc w:val="center"/>
              <w:rPr>
                <w:rFonts w:ascii="宋体" w:hAnsi="宋体"/>
                <w:szCs w:val="21"/>
                <w:highlight w:val="none"/>
              </w:rPr>
            </w:pPr>
            <w:r>
              <w:rPr>
                <w:rFonts w:hint="eastAsia" w:ascii="宋体" w:hAnsi="宋体"/>
                <w:szCs w:val="21"/>
                <w:highlight w:val="none"/>
              </w:rPr>
              <w:t>QB/T 5588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35</w:t>
            </w:r>
          </w:p>
        </w:tc>
        <w:tc>
          <w:tcPr>
            <w:tcW w:w="3067" w:type="dxa"/>
            <w:vAlign w:val="center"/>
          </w:tcPr>
          <w:p>
            <w:pPr>
              <w:jc w:val="center"/>
              <w:rPr>
                <w:rFonts w:ascii="宋体" w:hAnsi="宋体"/>
                <w:szCs w:val="21"/>
                <w:highlight w:val="none"/>
              </w:rPr>
            </w:pPr>
            <w:r>
              <w:rPr>
                <w:rFonts w:hint="eastAsia" w:ascii="宋体" w:hAnsi="宋体"/>
                <w:szCs w:val="21"/>
                <w:highlight w:val="none"/>
              </w:rPr>
              <w:t>实验室家具 通风柜</w:t>
            </w:r>
          </w:p>
        </w:tc>
        <w:tc>
          <w:tcPr>
            <w:tcW w:w="3966" w:type="dxa"/>
            <w:vAlign w:val="center"/>
          </w:tcPr>
          <w:p>
            <w:pPr>
              <w:jc w:val="center"/>
              <w:rPr>
                <w:rFonts w:ascii="宋体" w:hAnsi="宋体"/>
                <w:szCs w:val="21"/>
                <w:highlight w:val="none"/>
              </w:rPr>
            </w:pPr>
            <w:r>
              <w:rPr>
                <w:rFonts w:hint="eastAsia" w:ascii="宋体" w:hAnsi="宋体"/>
                <w:szCs w:val="21"/>
                <w:highlight w:val="none"/>
              </w:rPr>
              <w:t>QB/T 5589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36</w:t>
            </w:r>
          </w:p>
        </w:tc>
        <w:tc>
          <w:tcPr>
            <w:tcW w:w="3067" w:type="dxa"/>
            <w:vAlign w:val="center"/>
          </w:tcPr>
          <w:p>
            <w:pPr>
              <w:jc w:val="center"/>
              <w:rPr>
                <w:rFonts w:ascii="宋体" w:hAnsi="宋体"/>
                <w:szCs w:val="21"/>
                <w:highlight w:val="none"/>
              </w:rPr>
            </w:pPr>
            <w:r>
              <w:rPr>
                <w:rFonts w:hint="eastAsia" w:ascii="宋体" w:hAnsi="宋体"/>
                <w:szCs w:val="21"/>
                <w:highlight w:val="none"/>
              </w:rPr>
              <w:t>婴幼儿床垫</w:t>
            </w:r>
          </w:p>
        </w:tc>
        <w:tc>
          <w:tcPr>
            <w:tcW w:w="3966" w:type="dxa"/>
            <w:vAlign w:val="center"/>
          </w:tcPr>
          <w:p>
            <w:pPr>
              <w:jc w:val="center"/>
              <w:rPr>
                <w:rFonts w:ascii="宋体" w:hAnsi="宋体"/>
                <w:szCs w:val="21"/>
                <w:highlight w:val="none"/>
              </w:rPr>
            </w:pPr>
            <w:r>
              <w:rPr>
                <w:rFonts w:hint="eastAsia" w:ascii="宋体" w:hAnsi="宋体"/>
                <w:szCs w:val="21"/>
                <w:highlight w:val="none"/>
              </w:rPr>
              <w:t>QB/T 5590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37</w:t>
            </w:r>
          </w:p>
        </w:tc>
        <w:tc>
          <w:tcPr>
            <w:tcW w:w="3067" w:type="dxa"/>
            <w:vAlign w:val="center"/>
          </w:tcPr>
          <w:p>
            <w:pPr>
              <w:jc w:val="center"/>
              <w:rPr>
                <w:rFonts w:ascii="宋体" w:hAnsi="宋体"/>
                <w:szCs w:val="21"/>
                <w:highlight w:val="none"/>
              </w:rPr>
            </w:pPr>
            <w:r>
              <w:rPr>
                <w:rFonts w:hint="eastAsia" w:ascii="宋体" w:hAnsi="宋体"/>
                <w:szCs w:val="21"/>
                <w:highlight w:val="none"/>
              </w:rPr>
              <w:t>单层床通用技术条件</w:t>
            </w:r>
          </w:p>
        </w:tc>
        <w:tc>
          <w:tcPr>
            <w:tcW w:w="3966" w:type="dxa"/>
            <w:vAlign w:val="center"/>
          </w:tcPr>
          <w:p>
            <w:pPr>
              <w:jc w:val="center"/>
              <w:rPr>
                <w:rFonts w:ascii="宋体" w:hAnsi="宋体"/>
                <w:szCs w:val="21"/>
                <w:highlight w:val="none"/>
              </w:rPr>
            </w:pPr>
            <w:r>
              <w:rPr>
                <w:rFonts w:hint="eastAsia" w:ascii="宋体" w:hAnsi="宋体"/>
                <w:szCs w:val="21"/>
                <w:highlight w:val="none"/>
              </w:rPr>
              <w:t>QB/T 5617</w:t>
            </w:r>
          </w:p>
        </w:tc>
      </w:tr>
    </w:tbl>
    <w:p>
      <w:pPr>
        <w:spacing w:line="360" w:lineRule="auto"/>
        <w:ind w:firstLine="480" w:firstLineChars="200"/>
        <w:rPr>
          <w:rFonts w:hAnsi="宋体"/>
          <w:sz w:val="24"/>
          <w:highlight w:val="none"/>
        </w:rPr>
      </w:pPr>
      <w:r>
        <w:rPr>
          <w:rFonts w:hint="eastAsia" w:hAnsi="宋体"/>
          <w:sz w:val="24"/>
          <w:highlight w:val="none"/>
        </w:rPr>
        <w:t>前期调研了智能家具产品的智能化功能，其中涉及到声音、照明、加热等功能，且卫浴家具长期在湿热的环境中使用，因此需要考量智能家具产品在这些方面的质量水平。</w:t>
      </w:r>
    </w:p>
    <w:p>
      <w:pPr>
        <w:spacing w:line="360" w:lineRule="auto"/>
        <w:rPr>
          <w:rFonts w:ascii="黑体" w:hAnsi="黑体" w:eastAsia="黑体" w:cs="黑体"/>
          <w:sz w:val="24"/>
          <w:highlight w:val="none"/>
        </w:rPr>
      </w:pPr>
      <w:r>
        <w:rPr>
          <w:rFonts w:hint="eastAsia" w:ascii="黑体" w:hAnsi="黑体" w:eastAsia="黑体" w:cs="黑体"/>
          <w:sz w:val="24"/>
          <w:highlight w:val="none"/>
        </w:rPr>
        <w:t>2.2.5耐潮湿性能</w:t>
      </w:r>
    </w:p>
    <w:p>
      <w:pPr>
        <w:spacing w:line="360" w:lineRule="auto"/>
        <w:ind w:firstLine="480" w:firstLineChars="200"/>
        <w:rPr>
          <w:rFonts w:hint="eastAsia" w:hAnsi="宋体" w:eastAsia="宋体"/>
          <w:sz w:val="24"/>
          <w:highlight w:val="none"/>
          <w:lang w:val="en-US" w:eastAsia="zh-CN"/>
        </w:rPr>
      </w:pPr>
      <w:r>
        <w:rPr>
          <w:rFonts w:hint="eastAsia" w:hAnsi="宋体"/>
          <w:sz w:val="24"/>
          <w:highlight w:val="none"/>
        </w:rPr>
        <w:t>耐潮湿性能指标内容来源于GB/T 34549-2017《卫生洁具 智能坐便器》中8.3耐潮湿性能，检测方法</w:t>
      </w:r>
      <w:r>
        <w:rPr>
          <w:rFonts w:hint="eastAsia" w:hAnsi="宋体"/>
          <w:sz w:val="24"/>
          <w:highlight w:val="none"/>
          <w:lang w:val="en-US" w:eastAsia="zh-CN"/>
        </w:rPr>
        <w:t>参考了</w:t>
      </w:r>
      <w:r>
        <w:rPr>
          <w:rFonts w:hint="eastAsia" w:hAnsi="宋体"/>
          <w:sz w:val="24"/>
          <w:highlight w:val="none"/>
        </w:rPr>
        <w:t>GB/T 34549-2017的9.5.3章节。恒定湿热试验参考</w:t>
      </w:r>
      <w:r>
        <w:rPr>
          <w:rFonts w:hint="eastAsia" w:hAnsi="宋体"/>
          <w:sz w:val="24"/>
          <w:highlight w:val="none"/>
          <w:lang w:val="en-US" w:eastAsia="zh-CN"/>
        </w:rPr>
        <w:t>了</w:t>
      </w:r>
      <w:r>
        <w:rPr>
          <w:rFonts w:hint="eastAsia" w:hAnsi="宋体"/>
          <w:sz w:val="24"/>
          <w:highlight w:val="none"/>
        </w:rPr>
        <w:t>GB/T 2423.3 环境试验 第2部分：实验方法 试验Cab：恒定湿热试验。</w:t>
      </w:r>
      <w:r>
        <w:rPr>
          <w:rFonts w:hint="eastAsia" w:hAnsi="宋体"/>
          <w:sz w:val="24"/>
          <w:highlight w:val="none"/>
          <w:lang w:val="en-US" w:eastAsia="zh-CN"/>
        </w:rPr>
        <w:t>但考虑到家具产品的高湿使用环境，将环境条件设置为</w:t>
      </w:r>
      <w:r>
        <w:rPr>
          <w:rFonts w:hint="eastAsia" w:hAnsi="宋体"/>
          <w:sz w:val="24"/>
          <w:highlight w:val="none"/>
        </w:rPr>
        <w:t>（</w:t>
      </w:r>
      <w:r>
        <w:rPr>
          <w:rFonts w:hint="eastAsia" w:hAnsi="宋体"/>
          <w:sz w:val="24"/>
          <w:highlight w:val="none"/>
          <w:lang w:val="en-US" w:eastAsia="zh-CN"/>
        </w:rPr>
        <w:t>30</w:t>
      </w:r>
      <w:r>
        <w:rPr>
          <w:rFonts w:hint="eastAsia" w:hAnsi="宋体"/>
          <w:sz w:val="24"/>
          <w:highlight w:val="none"/>
        </w:rPr>
        <w:t>±</w:t>
      </w:r>
      <w:r>
        <w:rPr>
          <w:rFonts w:hint="eastAsia" w:hAnsi="宋体"/>
          <w:sz w:val="24"/>
          <w:highlight w:val="none"/>
          <w:lang w:val="en-US" w:eastAsia="zh-CN"/>
        </w:rPr>
        <w:t>5</w:t>
      </w:r>
      <w:r>
        <w:rPr>
          <w:rFonts w:hint="eastAsia" w:hAnsi="宋体"/>
          <w:sz w:val="24"/>
          <w:highlight w:val="none"/>
        </w:rPr>
        <w:t>）℃</w:t>
      </w:r>
      <w:r>
        <w:rPr>
          <w:rFonts w:hint="eastAsia" w:hAnsi="宋体"/>
          <w:sz w:val="24"/>
          <w:highlight w:val="none"/>
          <w:lang w:eastAsia="zh-CN"/>
        </w:rPr>
        <w:t>、</w:t>
      </w:r>
      <w:r>
        <w:rPr>
          <w:rFonts w:hint="eastAsia" w:hAnsi="宋体"/>
          <w:sz w:val="24"/>
          <w:highlight w:val="none"/>
        </w:rPr>
        <w:t>相对湿度</w:t>
      </w:r>
      <w:r>
        <w:rPr>
          <w:rFonts w:hint="eastAsia" w:hAnsi="宋体"/>
          <w:sz w:val="24"/>
          <w:highlight w:val="none"/>
          <w:lang w:val="en-US" w:eastAsia="zh-CN"/>
        </w:rPr>
        <w:t>85~95</w:t>
      </w:r>
      <w:r>
        <w:rPr>
          <w:rFonts w:hint="eastAsia" w:hAnsi="宋体"/>
          <w:sz w:val="24"/>
          <w:highlight w:val="none"/>
        </w:rPr>
        <w:t>%</w:t>
      </w:r>
      <w:r>
        <w:rPr>
          <w:rFonts w:hint="eastAsia" w:hAnsi="宋体"/>
          <w:sz w:val="24"/>
          <w:highlight w:val="none"/>
          <w:lang w:eastAsia="zh-CN"/>
        </w:rPr>
        <w:t>。</w:t>
      </w:r>
    </w:p>
    <w:p>
      <w:pPr>
        <w:spacing w:line="360" w:lineRule="auto"/>
        <w:rPr>
          <w:rFonts w:ascii="黑体" w:hAnsi="黑体" w:eastAsia="黑体" w:cs="黑体"/>
          <w:sz w:val="24"/>
          <w:highlight w:val="none"/>
        </w:rPr>
      </w:pPr>
      <w:r>
        <w:rPr>
          <w:rFonts w:hint="eastAsia" w:ascii="黑体" w:hAnsi="黑体" w:eastAsia="黑体" w:cs="黑体"/>
          <w:sz w:val="24"/>
          <w:highlight w:val="none"/>
        </w:rPr>
        <w:t>2.2.6噪音</w:t>
      </w:r>
    </w:p>
    <w:p>
      <w:pPr>
        <w:spacing w:line="360" w:lineRule="auto"/>
        <w:ind w:firstLine="480" w:firstLineChars="200"/>
        <w:rPr>
          <w:rFonts w:hAnsi="宋体"/>
          <w:sz w:val="24"/>
          <w:highlight w:val="none"/>
        </w:rPr>
      </w:pPr>
      <w:r>
        <w:rPr>
          <w:rFonts w:hint="eastAsia" w:hAnsi="宋体"/>
          <w:sz w:val="24"/>
          <w:highlight w:val="none"/>
        </w:rPr>
        <w:t>智能家具涉及电子及机械部件的运转，</w:t>
      </w:r>
      <w:r>
        <w:rPr>
          <w:rFonts w:hint="eastAsia" w:hAnsi="宋体"/>
          <w:sz w:val="24"/>
          <w:highlight w:val="none"/>
          <w:lang w:val="en-US" w:eastAsia="zh-CN"/>
        </w:rPr>
        <w:t>尤其是涉及睡眠相关的产品</w:t>
      </w:r>
      <w:r>
        <w:rPr>
          <w:rFonts w:hint="eastAsia" w:hAnsi="宋体"/>
          <w:sz w:val="24"/>
          <w:highlight w:val="none"/>
        </w:rPr>
        <w:t>噪声的考察就是必不可少的。噪声的要求内容参考了GB 19606-2004《家用和类似用途电器噪声限值》，其中规格≤200mm的风扇噪声限值59dB，额定制冷＜2.5kW的分体式空调室内噪声限值40dB。GB 22337-2008《社会生活环境噪声排放标准》中，卧室在夜间噪声排放限制最高不能超过35dB（A），办公室昼间噪声排放限制最高不能超过50dB（A）。注：在测试时选取与人体感觉最相近的A计权单位。</w:t>
      </w:r>
    </w:p>
    <w:p>
      <w:pPr>
        <w:spacing w:line="360" w:lineRule="auto"/>
        <w:ind w:firstLine="480" w:firstLineChars="200"/>
        <w:rPr>
          <w:rFonts w:hAnsi="宋体"/>
          <w:sz w:val="24"/>
          <w:highlight w:val="none"/>
        </w:rPr>
      </w:pPr>
      <w:r>
        <w:rPr>
          <w:rFonts w:hint="eastAsia" w:hAnsi="宋体"/>
          <w:sz w:val="24"/>
          <w:highlight w:val="none"/>
        </w:rPr>
        <w:t>检测方法参考GB/T 4214.1《家用和类似用途电器噪声测试方法 通用要求》中引用的GB/T 6881.2-2017《声学 声压法测定噪声源声功率级和声能量级 混响场内小型可移动声源工程法 硬壁测试室比较法》。</w:t>
      </w:r>
    </w:p>
    <w:p>
      <w:pPr>
        <w:spacing w:line="360" w:lineRule="auto"/>
        <w:jc w:val="center"/>
        <w:rPr>
          <w:highlight w:val="none"/>
        </w:rPr>
      </w:pPr>
      <w:r>
        <w:rPr>
          <w:highlight w:val="none"/>
        </w:rPr>
        <w:drawing>
          <wp:inline distT="0" distB="0" distL="114300" distR="114300">
            <wp:extent cx="5278120" cy="1831340"/>
            <wp:effectExtent l="0" t="0" r="17780" b="1651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9" cstate="print"/>
                    <a:stretch>
                      <a:fillRect/>
                    </a:stretch>
                  </pic:blipFill>
                  <pic:spPr>
                    <a:xfrm>
                      <a:off x="0" y="0"/>
                      <a:ext cx="5278120" cy="1831340"/>
                    </a:xfrm>
                    <a:prstGeom prst="rect">
                      <a:avLst/>
                    </a:prstGeom>
                    <a:noFill/>
                    <a:ln>
                      <a:noFill/>
                    </a:ln>
                  </pic:spPr>
                </pic:pic>
              </a:graphicData>
            </a:graphic>
          </wp:inline>
        </w:drawing>
      </w:r>
    </w:p>
    <w:p>
      <w:pPr>
        <w:spacing w:line="360" w:lineRule="auto"/>
        <w:jc w:val="center"/>
        <w:rPr>
          <w:rFonts w:ascii="黑体" w:hAnsi="黑体" w:eastAsia="黑体" w:cs="黑体"/>
          <w:highlight w:val="none"/>
        </w:rPr>
      </w:pPr>
      <w:r>
        <w:rPr>
          <w:rFonts w:hint="eastAsia" w:ascii="黑体" w:hAnsi="黑体" w:eastAsia="黑体" w:cs="黑体"/>
          <w:highlight w:val="none"/>
        </w:rPr>
        <w:t>图1 GB 22337-2008对室内噪声排放的要求</w:t>
      </w:r>
    </w:p>
    <w:p>
      <w:pPr>
        <w:spacing w:line="360" w:lineRule="auto"/>
        <w:ind w:firstLine="480" w:firstLineChars="200"/>
        <w:rPr>
          <w:rFonts w:hAnsi="宋体"/>
          <w:sz w:val="24"/>
          <w:highlight w:val="none"/>
        </w:rPr>
      </w:pPr>
      <w:r>
        <w:rPr>
          <w:rFonts w:hint="eastAsia" w:hAnsi="宋体"/>
          <w:sz w:val="24"/>
          <w:highlight w:val="none"/>
        </w:rPr>
        <w:t>GB 3096-2008《声环境质量标准》中对环境噪声的要求如图2。</w:t>
      </w:r>
    </w:p>
    <w:p>
      <w:pPr>
        <w:spacing w:line="360" w:lineRule="auto"/>
        <w:ind w:firstLine="420" w:firstLineChars="200"/>
        <w:rPr>
          <w:highlight w:val="none"/>
        </w:rPr>
      </w:pPr>
      <w:r>
        <w:rPr>
          <w:highlight w:val="none"/>
        </w:rPr>
        <w:drawing>
          <wp:inline distT="0" distB="0" distL="114300" distR="114300">
            <wp:extent cx="5274310" cy="1838325"/>
            <wp:effectExtent l="0" t="0" r="2540" b="952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20" cstate="print"/>
                    <a:stretch>
                      <a:fillRect/>
                    </a:stretch>
                  </pic:blipFill>
                  <pic:spPr>
                    <a:xfrm>
                      <a:off x="0" y="0"/>
                      <a:ext cx="5274310" cy="1838325"/>
                    </a:xfrm>
                    <a:prstGeom prst="rect">
                      <a:avLst/>
                    </a:prstGeom>
                    <a:noFill/>
                    <a:ln>
                      <a:noFill/>
                    </a:ln>
                  </pic:spPr>
                </pic:pic>
              </a:graphicData>
            </a:graphic>
          </wp:inline>
        </w:drawing>
      </w:r>
    </w:p>
    <w:p>
      <w:pPr>
        <w:spacing w:line="360" w:lineRule="auto"/>
        <w:ind w:firstLine="420" w:firstLineChars="200"/>
        <w:rPr>
          <w:rFonts w:ascii="黑体" w:hAnsi="黑体" w:eastAsia="黑体" w:cs="黑体"/>
          <w:highlight w:val="none"/>
        </w:rPr>
      </w:pPr>
      <w:r>
        <w:rPr>
          <w:rFonts w:hint="eastAsia"/>
          <w:highlight w:val="none"/>
        </w:rPr>
        <w:t xml:space="preserve">                                   </w:t>
      </w:r>
      <w:r>
        <w:rPr>
          <w:rFonts w:hint="eastAsia" w:ascii="黑体" w:hAnsi="黑体" w:eastAsia="黑体" w:cs="黑体"/>
          <w:highlight w:val="none"/>
        </w:rPr>
        <w:t>（a）</w:t>
      </w:r>
    </w:p>
    <w:p>
      <w:pPr>
        <w:spacing w:line="360" w:lineRule="auto"/>
        <w:ind w:firstLine="420" w:firstLineChars="200"/>
        <w:rPr>
          <w:highlight w:val="none"/>
        </w:rPr>
      </w:pPr>
      <w:r>
        <w:rPr>
          <w:highlight w:val="none"/>
        </w:rPr>
        <w:drawing>
          <wp:inline distT="0" distB="0" distL="114300" distR="114300">
            <wp:extent cx="5274310" cy="1126490"/>
            <wp:effectExtent l="0" t="0" r="2540" b="1651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21" cstate="print"/>
                    <a:stretch>
                      <a:fillRect/>
                    </a:stretch>
                  </pic:blipFill>
                  <pic:spPr>
                    <a:xfrm>
                      <a:off x="0" y="0"/>
                      <a:ext cx="5274310" cy="1126490"/>
                    </a:xfrm>
                    <a:prstGeom prst="rect">
                      <a:avLst/>
                    </a:prstGeom>
                    <a:noFill/>
                    <a:ln>
                      <a:noFill/>
                    </a:ln>
                  </pic:spPr>
                </pic:pic>
              </a:graphicData>
            </a:graphic>
          </wp:inline>
        </w:drawing>
      </w:r>
    </w:p>
    <w:p>
      <w:pPr>
        <w:spacing w:line="360" w:lineRule="auto"/>
        <w:ind w:firstLine="420" w:firstLineChars="200"/>
        <w:rPr>
          <w:highlight w:val="none"/>
        </w:rPr>
      </w:pPr>
      <w:r>
        <w:rPr>
          <w:highlight w:val="none"/>
        </w:rPr>
        <w:drawing>
          <wp:inline distT="0" distB="0" distL="114300" distR="114300">
            <wp:extent cx="5274310" cy="922020"/>
            <wp:effectExtent l="0" t="0" r="2540" b="1143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22" cstate="print"/>
                    <a:stretch>
                      <a:fillRect/>
                    </a:stretch>
                  </pic:blipFill>
                  <pic:spPr>
                    <a:xfrm>
                      <a:off x="0" y="0"/>
                      <a:ext cx="5274310" cy="922020"/>
                    </a:xfrm>
                    <a:prstGeom prst="rect">
                      <a:avLst/>
                    </a:prstGeom>
                    <a:noFill/>
                    <a:ln>
                      <a:noFill/>
                    </a:ln>
                  </pic:spPr>
                </pic:pic>
              </a:graphicData>
            </a:graphic>
          </wp:inline>
        </w:drawing>
      </w:r>
    </w:p>
    <w:p>
      <w:pPr>
        <w:spacing w:line="360" w:lineRule="auto"/>
        <w:jc w:val="center"/>
        <w:rPr>
          <w:rFonts w:hAnsi="宋体"/>
          <w:sz w:val="24"/>
          <w:highlight w:val="none"/>
        </w:rPr>
      </w:pPr>
      <w:r>
        <w:rPr>
          <w:rFonts w:hint="eastAsia" w:ascii="黑体" w:hAnsi="黑体" w:eastAsia="黑体" w:cs="黑体"/>
          <w:highlight w:val="none"/>
        </w:rPr>
        <w:t>（b）</w:t>
      </w:r>
    </w:p>
    <w:p>
      <w:pPr>
        <w:spacing w:line="360" w:lineRule="auto"/>
        <w:jc w:val="center"/>
        <w:rPr>
          <w:rFonts w:ascii="黑体" w:hAnsi="黑体" w:eastAsia="黑体" w:cs="黑体"/>
          <w:highlight w:val="none"/>
        </w:rPr>
      </w:pPr>
      <w:r>
        <w:rPr>
          <w:rFonts w:hint="eastAsia" w:ascii="黑体" w:hAnsi="黑体" w:eastAsia="黑体" w:cs="黑体"/>
          <w:highlight w:val="none"/>
        </w:rPr>
        <w:t>图2 GB 3096-2008对噪声排放的要求</w:t>
      </w:r>
    </w:p>
    <w:p>
      <w:pPr>
        <w:spacing w:line="360" w:lineRule="auto"/>
        <w:ind w:firstLine="480" w:firstLineChars="200"/>
        <w:rPr>
          <w:rFonts w:hAnsi="宋体"/>
          <w:sz w:val="24"/>
          <w:highlight w:val="none"/>
        </w:rPr>
      </w:pPr>
      <w:r>
        <w:rPr>
          <w:rFonts w:hint="eastAsia" w:hAnsi="宋体"/>
          <w:sz w:val="24"/>
          <w:highlight w:val="none"/>
        </w:rPr>
        <w:t>同时参考了T/SZFA 1006-2020 《智能家具 通用要求》5.10噪声要求中民用噪声级数值≤30dB，及公用噪声级数值≤50dB；GB 55016-2021《建筑环境通用规范》；GB 37488-2019《公共场所卫生指标及限值要求》。</w:t>
      </w:r>
    </w:p>
    <w:p>
      <w:pPr>
        <w:spacing w:line="360" w:lineRule="auto"/>
        <w:jc w:val="center"/>
        <w:rPr>
          <w:highlight w:val="none"/>
        </w:rPr>
      </w:pPr>
      <w:r>
        <w:rPr>
          <w:highlight w:val="none"/>
        </w:rPr>
        <w:drawing>
          <wp:inline distT="0" distB="0" distL="114300" distR="114300">
            <wp:extent cx="4019550" cy="1619250"/>
            <wp:effectExtent l="0" t="0" r="0"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23" cstate="print"/>
                    <a:stretch>
                      <a:fillRect/>
                    </a:stretch>
                  </pic:blipFill>
                  <pic:spPr>
                    <a:xfrm>
                      <a:off x="0" y="0"/>
                      <a:ext cx="4019550" cy="1619250"/>
                    </a:xfrm>
                    <a:prstGeom prst="rect">
                      <a:avLst/>
                    </a:prstGeom>
                    <a:noFill/>
                    <a:ln>
                      <a:noFill/>
                    </a:ln>
                  </pic:spPr>
                </pic:pic>
              </a:graphicData>
            </a:graphic>
          </wp:inline>
        </w:drawing>
      </w:r>
    </w:p>
    <w:p>
      <w:pPr>
        <w:spacing w:line="360" w:lineRule="auto"/>
        <w:jc w:val="center"/>
        <w:rPr>
          <w:rFonts w:ascii="黑体" w:hAnsi="黑体" w:eastAsia="黑体" w:cs="黑体"/>
          <w:highlight w:val="none"/>
        </w:rPr>
      </w:pPr>
      <w:r>
        <w:rPr>
          <w:rFonts w:hint="eastAsia" w:ascii="黑体" w:hAnsi="黑体" w:eastAsia="黑体" w:cs="黑体"/>
          <w:highlight w:val="none"/>
        </w:rPr>
        <w:t>图3 GB 55016-2021对噪声排放的要求</w:t>
      </w:r>
    </w:p>
    <w:p>
      <w:pPr>
        <w:spacing w:line="360" w:lineRule="auto"/>
        <w:rPr>
          <w:rFonts w:ascii="黑体" w:hAnsi="黑体" w:eastAsia="黑体" w:cs="黑体"/>
          <w:sz w:val="24"/>
          <w:highlight w:val="none"/>
        </w:rPr>
      </w:pPr>
      <w:r>
        <w:rPr>
          <w:rFonts w:hint="eastAsia" w:ascii="黑体" w:hAnsi="黑体" w:eastAsia="黑体" w:cs="黑体"/>
          <w:sz w:val="24"/>
          <w:highlight w:val="none"/>
        </w:rPr>
        <w:t>2.2.7温度调节</w:t>
      </w:r>
    </w:p>
    <w:p>
      <w:pPr>
        <w:spacing w:line="360" w:lineRule="auto"/>
        <w:ind w:firstLine="480" w:firstLineChars="200"/>
        <w:rPr>
          <w:rFonts w:hAnsi="宋体"/>
          <w:sz w:val="24"/>
          <w:highlight w:val="none"/>
        </w:rPr>
      </w:pPr>
      <w:r>
        <w:rPr>
          <w:rFonts w:hint="eastAsia" w:hAnsi="宋体"/>
          <w:sz w:val="24"/>
          <w:highlight w:val="none"/>
        </w:rPr>
        <w:t>具有加热功能的智能家具，如床垫及按摩沙发等。</w:t>
      </w:r>
      <w:r>
        <w:rPr>
          <w:rFonts w:hint="eastAsia" w:hAnsi="宋体"/>
          <w:sz w:val="24"/>
          <w:highlight w:val="none"/>
          <w:lang w:val="en-US" w:eastAsia="zh-CN"/>
        </w:rPr>
        <w:t>与人体接触时，</w:t>
      </w:r>
      <w:r>
        <w:rPr>
          <w:rFonts w:hint="eastAsia" w:hAnsi="宋体"/>
          <w:sz w:val="24"/>
          <w:highlight w:val="none"/>
        </w:rPr>
        <w:t>需要对温度进行考核，预防温度突然增高，保障使用者安全。安全使用温度的要求数值参考了T/SZFA 1005-2019《家具 带电家具电气安全通用要求》中6.5.1章节、GB 4706.8-2008《家用和类似用途电器的安全 电热毯、电热垫及类似柔性发热器具的特殊要求》中11.102、GB4706.1-2005的表3对温度的检测方法参考了GB/T 23107-2020《家用和类似用途电热毯 性能测试方法》中的第10章 温度稳定性、GB4706.1-2005的。</w:t>
      </w:r>
    </w:p>
    <w:p>
      <w:pPr>
        <w:spacing w:line="360" w:lineRule="auto"/>
        <w:rPr>
          <w:rFonts w:ascii="黑体" w:hAnsi="黑体" w:eastAsia="黑体" w:cs="黑体"/>
          <w:sz w:val="24"/>
          <w:highlight w:val="none"/>
        </w:rPr>
      </w:pPr>
      <w:r>
        <w:rPr>
          <w:rFonts w:hint="eastAsia" w:ascii="黑体" w:hAnsi="黑体" w:eastAsia="黑体" w:cs="黑体"/>
          <w:sz w:val="24"/>
          <w:highlight w:val="none"/>
        </w:rPr>
        <w:t>2.2.8照明</w:t>
      </w:r>
    </w:p>
    <w:p>
      <w:pPr>
        <w:spacing w:line="360" w:lineRule="auto"/>
        <w:ind w:firstLine="480" w:firstLineChars="200"/>
        <w:rPr>
          <w:rFonts w:hAnsi="宋体"/>
          <w:sz w:val="24"/>
          <w:highlight w:val="none"/>
        </w:rPr>
      </w:pPr>
      <w:r>
        <w:rPr>
          <w:rFonts w:hint="eastAsia" w:hAnsi="宋体"/>
          <w:sz w:val="24"/>
          <w:highlight w:val="none"/>
        </w:rPr>
        <w:t>照明参数考察的是给使用者提供亮度及光线的功能，主要出现在智能学习桌或其他桌、柜类产品，因此需符合有照明功能电子产品的标准。</w:t>
      </w:r>
    </w:p>
    <w:p>
      <w:pPr>
        <w:spacing w:line="360" w:lineRule="auto"/>
        <w:ind w:firstLine="480" w:firstLineChars="200"/>
        <w:rPr>
          <w:rFonts w:hAnsi="宋体"/>
          <w:sz w:val="24"/>
          <w:highlight w:val="none"/>
        </w:rPr>
      </w:pPr>
      <w:r>
        <w:rPr>
          <w:rFonts w:hint="eastAsia" w:hAnsi="宋体"/>
          <w:sz w:val="24"/>
          <w:highlight w:val="none"/>
        </w:rPr>
        <w:t>标准要求的具体内容参考了GB 7000.1-2015中4.24的要求。评估指标参考了GB/T 9473-2017中5.6章节。</w:t>
      </w:r>
    </w:p>
    <w:p>
      <w:pPr>
        <w:spacing w:line="360" w:lineRule="auto"/>
        <w:rPr>
          <w:rFonts w:ascii="黑体" w:hAnsi="黑体" w:eastAsia="黑体" w:cs="黑体"/>
          <w:sz w:val="24"/>
          <w:highlight w:val="none"/>
        </w:rPr>
      </w:pPr>
      <w:r>
        <w:rPr>
          <w:rFonts w:hint="eastAsia" w:ascii="黑体" w:hAnsi="黑体" w:eastAsia="黑体" w:cs="黑体"/>
          <w:sz w:val="24"/>
          <w:highlight w:val="none"/>
        </w:rPr>
        <w:t>2.2.9力学性能要求</w:t>
      </w:r>
    </w:p>
    <w:p>
      <w:pPr>
        <w:spacing w:line="360" w:lineRule="auto"/>
        <w:ind w:firstLine="480" w:firstLineChars="200"/>
        <w:rPr>
          <w:rFonts w:hAnsi="宋体"/>
          <w:sz w:val="24"/>
          <w:highlight w:val="none"/>
        </w:rPr>
      </w:pPr>
      <w:r>
        <w:rPr>
          <w:rFonts w:hint="eastAsia" w:hAnsi="宋体"/>
          <w:sz w:val="24"/>
          <w:highlight w:val="none"/>
        </w:rPr>
        <w:t>力学性能需满足对应产品标准的要求及检测方法。在力学测试后，智能家具的电子部件及其他功能不应损坏。</w:t>
      </w:r>
    </w:p>
    <w:p>
      <w:pPr>
        <w:spacing w:line="360" w:lineRule="auto"/>
        <w:ind w:firstLine="480" w:firstLineChars="200"/>
        <w:rPr>
          <w:rFonts w:hAnsi="宋体"/>
          <w:sz w:val="24"/>
          <w:highlight w:val="none"/>
        </w:rPr>
      </w:pPr>
      <w:r>
        <w:rPr>
          <w:rFonts w:hint="eastAsia" w:hAnsi="宋体"/>
          <w:sz w:val="24"/>
          <w:highlight w:val="none"/>
        </w:rPr>
        <w:t>另外，调节机构耐久性检测数值，依据根据年平均调节500次，使用10年估算，总调节次数约5000次。</w:t>
      </w:r>
    </w:p>
    <w:p>
      <w:pPr>
        <w:spacing w:line="360" w:lineRule="auto"/>
        <w:rPr>
          <w:rFonts w:ascii="黑体" w:hAnsi="黑体" w:eastAsia="黑体" w:cs="黑体"/>
          <w:sz w:val="24"/>
          <w:highlight w:val="none"/>
        </w:rPr>
      </w:pPr>
      <w:r>
        <w:rPr>
          <w:rFonts w:hint="eastAsia" w:ascii="黑体" w:hAnsi="黑体" w:eastAsia="黑体" w:cs="黑体"/>
          <w:sz w:val="24"/>
          <w:highlight w:val="none"/>
        </w:rPr>
        <w:t>2.2.10结构及误操作</w:t>
      </w:r>
    </w:p>
    <w:p>
      <w:pPr>
        <w:spacing w:line="360" w:lineRule="auto"/>
        <w:ind w:firstLine="480" w:firstLineChars="200"/>
        <w:rPr>
          <w:rFonts w:hAnsi="宋体"/>
          <w:sz w:val="24"/>
          <w:highlight w:val="none"/>
        </w:rPr>
      </w:pPr>
      <w:r>
        <w:rPr>
          <w:rFonts w:hint="eastAsia" w:hAnsi="宋体"/>
          <w:sz w:val="24"/>
          <w:highlight w:val="none"/>
        </w:rPr>
        <w:t>标准中机械安全、误操作及紧急情况下的安全，主要内容参考了T/SZFA 1006-2020的5.7机械安全及5.8应急安全要求，主要针对机电系统故障及误操作造成的危险情况。</w:t>
      </w:r>
    </w:p>
    <w:p>
      <w:pPr>
        <w:spacing w:line="360" w:lineRule="auto"/>
        <w:ind w:firstLine="480" w:firstLineChars="200"/>
        <w:rPr>
          <w:rFonts w:hAnsi="宋体"/>
          <w:sz w:val="24"/>
          <w:highlight w:val="none"/>
        </w:rPr>
      </w:pPr>
      <w:r>
        <w:rPr>
          <w:rFonts w:hint="eastAsia" w:hAnsi="宋体"/>
          <w:sz w:val="24"/>
          <w:highlight w:val="none"/>
        </w:rPr>
        <w:t>5.4.1.1要求及检测方法参考GB 4706.1-2005的21.1章节。</w:t>
      </w:r>
    </w:p>
    <w:p>
      <w:pPr>
        <w:spacing w:line="360" w:lineRule="auto"/>
        <w:rPr>
          <w:rFonts w:ascii="黑体" w:hAnsi="黑体" w:eastAsia="黑体" w:cs="黑体"/>
          <w:sz w:val="24"/>
          <w:highlight w:val="none"/>
        </w:rPr>
      </w:pPr>
      <w:r>
        <w:rPr>
          <w:rFonts w:hint="eastAsia" w:ascii="黑体" w:hAnsi="黑体" w:eastAsia="黑体" w:cs="黑体"/>
          <w:sz w:val="24"/>
          <w:highlight w:val="none"/>
        </w:rPr>
        <w:t>2.2.11有害物质</w:t>
      </w:r>
    </w:p>
    <w:p>
      <w:pPr>
        <w:spacing w:line="360" w:lineRule="auto"/>
        <w:ind w:firstLine="480" w:firstLineChars="200"/>
        <w:rPr>
          <w:rFonts w:hAnsi="宋体"/>
          <w:sz w:val="24"/>
          <w:highlight w:val="none"/>
        </w:rPr>
      </w:pPr>
      <w:r>
        <w:rPr>
          <w:rFonts w:hint="eastAsia" w:hAnsi="宋体"/>
          <w:sz w:val="24"/>
          <w:highlight w:val="none"/>
        </w:rPr>
        <w:t>智能家具中的有害物质含量应符合GBXXXXX—20XX《家具中有害物质限量》（报批稿）。</w:t>
      </w:r>
    </w:p>
    <w:p>
      <w:pPr>
        <w:spacing w:line="360" w:lineRule="auto"/>
        <w:ind w:firstLine="480" w:firstLineChars="200"/>
        <w:rPr>
          <w:rFonts w:hAnsi="宋体"/>
          <w:sz w:val="24"/>
          <w:highlight w:val="none"/>
        </w:rPr>
      </w:pPr>
      <w:r>
        <w:rPr>
          <w:rFonts w:hint="eastAsia" w:hAnsi="宋体"/>
          <w:sz w:val="24"/>
          <w:highlight w:val="none"/>
        </w:rPr>
        <w:t>RoHS认证是由欧盟立法制定的一项强制性标准，它的全称是《关于限制在电子电器设备中使用某些有害成分的指令》(Restriction of Hazardous Substances)。该标准已于2006年7月1日开始正式实施，主要用于规范电子电气产品的材料及工艺标准，使之更加有利于人体健康及环境保护。该标准的目的在于消除电机电子产品中的铅、汞、镉、六价铬、多溴联苯和多溴二苯醚共6项物质，并重点规定了铅的含量不能超过0.1%。</w:t>
      </w:r>
    </w:p>
    <w:p>
      <w:pPr>
        <w:spacing w:line="360" w:lineRule="auto"/>
        <w:ind w:firstLine="480" w:firstLineChars="200"/>
        <w:rPr>
          <w:rFonts w:hAnsi="宋体"/>
          <w:sz w:val="24"/>
          <w:highlight w:val="none"/>
        </w:rPr>
      </w:pPr>
      <w:r>
        <w:rPr>
          <w:rFonts w:hint="eastAsia" w:hAnsi="宋体"/>
          <w:sz w:val="24"/>
          <w:highlight w:val="none"/>
        </w:rPr>
        <w:t>《家具中有害物质限量》标准中已包含RoHS认证中所规定的6项物质，以下是《家具中有害物质限量》标准与RoHS认证标准指标的比较。</w:t>
      </w:r>
    </w:p>
    <w:p>
      <w:pPr>
        <w:pStyle w:val="18"/>
        <w:tabs>
          <w:tab w:val="center" w:pos="4201"/>
          <w:tab w:val="right" w:leader="dot" w:pos="9298"/>
        </w:tabs>
        <w:spacing w:beforeLines="50" w:afterLines="50"/>
        <w:ind w:firstLine="0" w:firstLineChars="0"/>
        <w:jc w:val="center"/>
        <w:rPr>
          <w:rFonts w:eastAsia="黑体"/>
          <w:highlight w:val="none"/>
        </w:rPr>
      </w:pPr>
      <w:r>
        <w:rPr>
          <w:rFonts w:hint="eastAsia" w:ascii="黑体" w:hAnsi="黑体" w:eastAsia="黑体"/>
          <w:highlight w:val="none"/>
        </w:rPr>
        <w:t>表4　《家具中有害物质限量》与RoHS要求比较</w:t>
      </w:r>
    </w:p>
    <w:tbl>
      <w:tblPr>
        <w:tblStyle w:val="10"/>
        <w:tblW w:w="874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39"/>
        <w:gridCol w:w="2053"/>
        <w:gridCol w:w="2775"/>
        <w:gridCol w:w="247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blHeader/>
        </w:trPr>
        <w:tc>
          <w:tcPr>
            <w:tcW w:w="1439" w:type="dxa"/>
            <w:tcBorders>
              <w:top w:val="single" w:color="000000" w:sz="12" w:space="0"/>
            </w:tcBorders>
            <w:vAlign w:val="center"/>
          </w:tcPr>
          <w:p>
            <w:pPr>
              <w:jc w:val="center"/>
              <w:rPr>
                <w:rFonts w:ascii="宋体" w:hAnsi="宋体"/>
                <w:b/>
                <w:bCs/>
                <w:szCs w:val="21"/>
                <w:highlight w:val="none"/>
              </w:rPr>
            </w:pPr>
            <w:r>
              <w:rPr>
                <w:rFonts w:hint="eastAsia" w:ascii="宋体" w:hAnsi="宋体"/>
                <w:b/>
                <w:bCs/>
                <w:szCs w:val="21"/>
                <w:highlight w:val="none"/>
              </w:rPr>
              <w:t>序号</w:t>
            </w:r>
          </w:p>
        </w:tc>
        <w:tc>
          <w:tcPr>
            <w:tcW w:w="2053" w:type="dxa"/>
            <w:tcBorders>
              <w:top w:val="single" w:color="000000" w:sz="12" w:space="0"/>
            </w:tcBorders>
            <w:vAlign w:val="center"/>
          </w:tcPr>
          <w:p>
            <w:pPr>
              <w:jc w:val="center"/>
              <w:rPr>
                <w:rFonts w:ascii="宋体" w:hAnsi="宋体"/>
                <w:b/>
                <w:bCs/>
                <w:szCs w:val="21"/>
                <w:highlight w:val="none"/>
              </w:rPr>
            </w:pPr>
            <w:r>
              <w:rPr>
                <w:rFonts w:hint="eastAsia" w:ascii="宋体" w:hAnsi="宋体"/>
                <w:b/>
                <w:bCs/>
                <w:szCs w:val="21"/>
                <w:highlight w:val="none"/>
              </w:rPr>
              <w:t>物质名称</w:t>
            </w:r>
          </w:p>
        </w:tc>
        <w:tc>
          <w:tcPr>
            <w:tcW w:w="2775" w:type="dxa"/>
            <w:tcBorders>
              <w:top w:val="single" w:color="000000" w:sz="12" w:space="0"/>
            </w:tcBorders>
            <w:vAlign w:val="center"/>
          </w:tcPr>
          <w:p>
            <w:pPr>
              <w:jc w:val="center"/>
              <w:rPr>
                <w:rFonts w:ascii="宋体" w:hAnsi="宋体"/>
                <w:b/>
                <w:bCs/>
                <w:szCs w:val="21"/>
                <w:highlight w:val="none"/>
              </w:rPr>
            </w:pPr>
            <w:r>
              <w:rPr>
                <w:rFonts w:hint="eastAsia" w:ascii="宋体" w:hAnsi="宋体"/>
                <w:b/>
                <w:bCs/>
                <w:szCs w:val="21"/>
                <w:highlight w:val="none"/>
              </w:rPr>
              <w:t>《家具中有害物质限量》</w:t>
            </w:r>
          </w:p>
        </w:tc>
        <w:tc>
          <w:tcPr>
            <w:tcW w:w="2475" w:type="dxa"/>
            <w:tcBorders>
              <w:top w:val="single" w:color="000000" w:sz="12" w:space="0"/>
            </w:tcBorders>
            <w:vAlign w:val="center"/>
          </w:tcPr>
          <w:p>
            <w:pPr>
              <w:jc w:val="center"/>
              <w:rPr>
                <w:rFonts w:ascii="宋体" w:hAnsi="宋体"/>
                <w:b/>
                <w:bCs/>
                <w:szCs w:val="21"/>
                <w:highlight w:val="none"/>
              </w:rPr>
            </w:pPr>
            <w:r>
              <w:rPr>
                <w:rFonts w:hint="eastAsia" w:ascii="宋体" w:hAnsi="宋体"/>
                <w:b/>
                <w:bCs/>
                <w:szCs w:val="21"/>
                <w:highlight w:val="none"/>
              </w:rPr>
              <w:t>ROHS要求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1</w:t>
            </w:r>
          </w:p>
        </w:tc>
        <w:tc>
          <w:tcPr>
            <w:tcW w:w="2053" w:type="dxa"/>
            <w:vAlign w:val="center"/>
          </w:tcPr>
          <w:p>
            <w:pPr>
              <w:jc w:val="center"/>
              <w:rPr>
                <w:rFonts w:ascii="宋体" w:hAnsi="宋体"/>
                <w:szCs w:val="21"/>
                <w:highlight w:val="none"/>
              </w:rPr>
            </w:pPr>
            <w:r>
              <w:rPr>
                <w:rFonts w:hint="eastAsia" w:ascii="宋体" w:hAnsi="宋体"/>
                <w:szCs w:val="21"/>
                <w:highlight w:val="none"/>
              </w:rPr>
              <w:t xml:space="preserve">铅(Pb) </w:t>
            </w:r>
          </w:p>
        </w:tc>
        <w:tc>
          <w:tcPr>
            <w:tcW w:w="2775" w:type="dxa"/>
            <w:vAlign w:val="center"/>
          </w:tcPr>
          <w:p>
            <w:pPr>
              <w:jc w:val="center"/>
              <w:rPr>
                <w:rFonts w:ascii="宋体" w:hAnsi="宋体"/>
                <w:szCs w:val="21"/>
                <w:highlight w:val="none"/>
              </w:rPr>
            </w:pPr>
            <w:r>
              <w:rPr>
                <w:rFonts w:hint="eastAsia" w:ascii="宋体" w:hAnsi="宋体"/>
                <w:szCs w:val="21"/>
                <w:highlight w:val="none"/>
              </w:rPr>
              <w:t>≤90 mg/kg</w:t>
            </w:r>
          </w:p>
        </w:tc>
        <w:tc>
          <w:tcPr>
            <w:tcW w:w="2475" w:type="dxa"/>
            <w:vAlign w:val="center"/>
          </w:tcPr>
          <w:p>
            <w:pPr>
              <w:jc w:val="center"/>
              <w:rPr>
                <w:rFonts w:ascii="宋体" w:hAnsi="宋体"/>
                <w:szCs w:val="21"/>
                <w:highlight w:val="none"/>
              </w:rPr>
            </w:pPr>
            <w:r>
              <w:rPr>
                <w:rFonts w:hint="eastAsia" w:ascii="宋体" w:hAnsi="宋体"/>
                <w:szCs w:val="21"/>
                <w:highlight w:val="none"/>
              </w:rPr>
              <w:t>铅</w:t>
            </w:r>
            <w:r>
              <w:rPr>
                <w:rFonts w:hint="eastAsia" w:ascii="宋体" w:hAnsi="宋体"/>
                <w:szCs w:val="21"/>
                <w:highlight w:val="none"/>
                <w:lang w:eastAsia="zh-CN"/>
              </w:rPr>
              <w:t>：</w:t>
            </w:r>
            <w:r>
              <w:rPr>
                <w:rFonts w:hint="eastAsia" w:ascii="宋体" w:hAnsi="宋体"/>
                <w:szCs w:val="21"/>
                <w:highlight w:val="none"/>
              </w:rPr>
              <w:t>小于1000ppm</w:t>
            </w:r>
          </w:p>
          <w:p>
            <w:pPr>
              <w:jc w:val="center"/>
              <w:rPr>
                <w:rFonts w:ascii="宋体" w:hAnsi="宋体"/>
                <w:szCs w:val="21"/>
                <w:highlight w:val="none"/>
              </w:rPr>
            </w:pPr>
            <w:r>
              <w:rPr>
                <w:rFonts w:hint="eastAsia" w:ascii="宋体" w:hAnsi="宋体"/>
                <w:szCs w:val="21"/>
                <w:highlight w:val="none"/>
              </w:rPr>
              <w:t>钢合金中小于3500ppm</w:t>
            </w:r>
          </w:p>
          <w:p>
            <w:pPr>
              <w:jc w:val="center"/>
              <w:rPr>
                <w:rFonts w:ascii="宋体" w:hAnsi="宋体"/>
                <w:szCs w:val="21"/>
                <w:highlight w:val="none"/>
              </w:rPr>
            </w:pPr>
            <w:r>
              <w:rPr>
                <w:rFonts w:hint="eastAsia" w:ascii="宋体" w:hAnsi="宋体"/>
                <w:szCs w:val="21"/>
                <w:highlight w:val="none"/>
              </w:rPr>
              <w:t>铝合金中小于4000ppm</w:t>
            </w:r>
          </w:p>
          <w:p>
            <w:pPr>
              <w:jc w:val="center"/>
              <w:rPr>
                <w:rFonts w:ascii="宋体" w:hAnsi="宋体"/>
                <w:b/>
                <w:szCs w:val="21"/>
                <w:highlight w:val="none"/>
              </w:rPr>
            </w:pPr>
            <w:r>
              <w:rPr>
                <w:rFonts w:hint="eastAsia" w:ascii="宋体" w:hAnsi="宋体"/>
                <w:szCs w:val="21"/>
                <w:highlight w:val="none"/>
              </w:rPr>
              <w:t>铜合金中小于40000ppm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2</w:t>
            </w:r>
          </w:p>
        </w:tc>
        <w:tc>
          <w:tcPr>
            <w:tcW w:w="2053" w:type="dxa"/>
            <w:vAlign w:val="center"/>
          </w:tcPr>
          <w:p>
            <w:pPr>
              <w:jc w:val="center"/>
              <w:rPr>
                <w:rFonts w:ascii="宋体" w:hAnsi="宋体"/>
                <w:szCs w:val="21"/>
                <w:highlight w:val="none"/>
              </w:rPr>
            </w:pPr>
            <w:r>
              <w:rPr>
                <w:rFonts w:hint="eastAsia" w:ascii="宋体" w:hAnsi="宋体"/>
                <w:szCs w:val="21"/>
                <w:highlight w:val="none"/>
              </w:rPr>
              <w:t>汞(Hg)</w:t>
            </w:r>
          </w:p>
        </w:tc>
        <w:tc>
          <w:tcPr>
            <w:tcW w:w="2775" w:type="dxa"/>
            <w:vAlign w:val="center"/>
          </w:tcPr>
          <w:p>
            <w:pPr>
              <w:jc w:val="center"/>
              <w:rPr>
                <w:rFonts w:ascii="宋体" w:hAnsi="宋体"/>
                <w:szCs w:val="21"/>
                <w:highlight w:val="none"/>
              </w:rPr>
            </w:pPr>
            <w:r>
              <w:rPr>
                <w:rFonts w:hint="eastAsia" w:ascii="宋体" w:hAnsi="宋体"/>
                <w:szCs w:val="21"/>
                <w:highlight w:val="none"/>
              </w:rPr>
              <w:t>≤60 mg/kg</w:t>
            </w:r>
          </w:p>
        </w:tc>
        <w:tc>
          <w:tcPr>
            <w:tcW w:w="2475" w:type="dxa"/>
            <w:vAlign w:val="center"/>
          </w:tcPr>
          <w:p>
            <w:pPr>
              <w:jc w:val="center"/>
              <w:rPr>
                <w:rFonts w:ascii="宋体" w:hAnsi="宋体"/>
                <w:szCs w:val="21"/>
                <w:highlight w:val="none"/>
              </w:rPr>
            </w:pPr>
            <w:r>
              <w:rPr>
                <w:rFonts w:hint="eastAsia" w:ascii="宋体" w:hAnsi="宋体"/>
                <w:szCs w:val="21"/>
                <w:highlight w:val="none"/>
              </w:rPr>
              <w:t>小于1000ppm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3</w:t>
            </w:r>
          </w:p>
        </w:tc>
        <w:tc>
          <w:tcPr>
            <w:tcW w:w="2053" w:type="dxa"/>
            <w:vAlign w:val="center"/>
          </w:tcPr>
          <w:p>
            <w:pPr>
              <w:jc w:val="center"/>
              <w:rPr>
                <w:rFonts w:ascii="宋体" w:hAnsi="宋体"/>
                <w:szCs w:val="21"/>
                <w:highlight w:val="none"/>
              </w:rPr>
            </w:pPr>
            <w:r>
              <w:rPr>
                <w:rFonts w:hint="eastAsia" w:ascii="宋体" w:hAnsi="宋体"/>
                <w:szCs w:val="21"/>
                <w:highlight w:val="none"/>
              </w:rPr>
              <w:t>镉(Cd)</w:t>
            </w:r>
          </w:p>
        </w:tc>
        <w:tc>
          <w:tcPr>
            <w:tcW w:w="2775" w:type="dxa"/>
            <w:vAlign w:val="center"/>
          </w:tcPr>
          <w:p>
            <w:pPr>
              <w:jc w:val="center"/>
              <w:rPr>
                <w:rFonts w:ascii="宋体" w:hAnsi="宋体"/>
                <w:szCs w:val="21"/>
                <w:highlight w:val="none"/>
              </w:rPr>
            </w:pPr>
            <w:r>
              <w:rPr>
                <w:rFonts w:hint="eastAsia" w:ascii="宋体" w:hAnsi="宋体"/>
                <w:szCs w:val="21"/>
                <w:highlight w:val="none"/>
              </w:rPr>
              <w:t>≤75 mg/kg</w:t>
            </w:r>
          </w:p>
        </w:tc>
        <w:tc>
          <w:tcPr>
            <w:tcW w:w="2475" w:type="dxa"/>
            <w:vAlign w:val="center"/>
          </w:tcPr>
          <w:p>
            <w:pPr>
              <w:jc w:val="center"/>
              <w:rPr>
                <w:rFonts w:ascii="宋体" w:hAnsi="宋体"/>
                <w:szCs w:val="21"/>
                <w:highlight w:val="none"/>
              </w:rPr>
            </w:pPr>
            <w:r>
              <w:rPr>
                <w:rFonts w:hint="eastAsia" w:ascii="宋体" w:hAnsi="宋体"/>
                <w:szCs w:val="21"/>
                <w:highlight w:val="none"/>
              </w:rPr>
              <w:t>小于100ppm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4</w:t>
            </w:r>
          </w:p>
        </w:tc>
        <w:tc>
          <w:tcPr>
            <w:tcW w:w="2053" w:type="dxa"/>
            <w:vAlign w:val="center"/>
          </w:tcPr>
          <w:p>
            <w:pPr>
              <w:jc w:val="center"/>
              <w:rPr>
                <w:rFonts w:ascii="宋体" w:hAnsi="宋体"/>
                <w:szCs w:val="21"/>
                <w:highlight w:val="none"/>
              </w:rPr>
            </w:pPr>
            <w:r>
              <w:rPr>
                <w:rFonts w:hint="eastAsia" w:ascii="宋体" w:hAnsi="宋体"/>
                <w:szCs w:val="21"/>
                <w:highlight w:val="none"/>
              </w:rPr>
              <w:t xml:space="preserve">六价铬(Cr 6+) </w:t>
            </w:r>
          </w:p>
        </w:tc>
        <w:tc>
          <w:tcPr>
            <w:tcW w:w="2775" w:type="dxa"/>
            <w:vAlign w:val="center"/>
          </w:tcPr>
          <w:p>
            <w:pPr>
              <w:jc w:val="center"/>
              <w:rPr>
                <w:rFonts w:ascii="宋体" w:hAnsi="宋体"/>
                <w:szCs w:val="21"/>
                <w:highlight w:val="none"/>
              </w:rPr>
            </w:pPr>
            <w:r>
              <w:rPr>
                <w:rFonts w:hint="eastAsia" w:ascii="宋体" w:hAnsi="宋体"/>
                <w:szCs w:val="21"/>
                <w:highlight w:val="none"/>
              </w:rPr>
              <w:t>≤60 mg/kg</w:t>
            </w:r>
          </w:p>
        </w:tc>
        <w:tc>
          <w:tcPr>
            <w:tcW w:w="2475" w:type="dxa"/>
            <w:vAlign w:val="center"/>
          </w:tcPr>
          <w:p>
            <w:pPr>
              <w:jc w:val="center"/>
              <w:rPr>
                <w:rFonts w:ascii="宋体" w:hAnsi="宋体"/>
                <w:szCs w:val="21"/>
                <w:highlight w:val="none"/>
              </w:rPr>
            </w:pPr>
            <w:r>
              <w:rPr>
                <w:rFonts w:hint="eastAsia" w:ascii="宋体" w:hAnsi="宋体"/>
                <w:szCs w:val="21"/>
                <w:highlight w:val="none"/>
              </w:rPr>
              <w:t>小于1000ppm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5</w:t>
            </w:r>
          </w:p>
        </w:tc>
        <w:tc>
          <w:tcPr>
            <w:tcW w:w="2053" w:type="dxa"/>
            <w:vAlign w:val="center"/>
          </w:tcPr>
          <w:p>
            <w:pPr>
              <w:jc w:val="center"/>
              <w:rPr>
                <w:rFonts w:ascii="宋体" w:hAnsi="宋体"/>
                <w:szCs w:val="21"/>
                <w:highlight w:val="none"/>
              </w:rPr>
            </w:pPr>
            <w:r>
              <w:rPr>
                <w:rFonts w:hint="eastAsia" w:ascii="宋体" w:hAnsi="宋体"/>
                <w:szCs w:val="21"/>
                <w:highlight w:val="none"/>
              </w:rPr>
              <w:t>多溴联苯</w:t>
            </w:r>
          </w:p>
        </w:tc>
        <w:tc>
          <w:tcPr>
            <w:tcW w:w="2775" w:type="dxa"/>
            <w:vAlign w:val="center"/>
          </w:tcPr>
          <w:p>
            <w:pPr>
              <w:jc w:val="center"/>
              <w:rPr>
                <w:rFonts w:ascii="宋体" w:hAnsi="宋体"/>
                <w:szCs w:val="21"/>
                <w:highlight w:val="none"/>
              </w:rPr>
            </w:pPr>
            <w:r>
              <w:rPr>
                <w:rFonts w:hint="eastAsia" w:ascii="宋体" w:hAnsi="宋体"/>
                <w:szCs w:val="21"/>
                <w:highlight w:val="none"/>
              </w:rPr>
              <w:t>≤1000 mg/kg</w:t>
            </w:r>
          </w:p>
        </w:tc>
        <w:tc>
          <w:tcPr>
            <w:tcW w:w="2475" w:type="dxa"/>
            <w:vAlign w:val="center"/>
          </w:tcPr>
          <w:p>
            <w:pPr>
              <w:jc w:val="center"/>
              <w:rPr>
                <w:rFonts w:ascii="宋体" w:hAnsi="宋体"/>
                <w:szCs w:val="21"/>
                <w:highlight w:val="none"/>
              </w:rPr>
            </w:pPr>
            <w:r>
              <w:rPr>
                <w:rFonts w:hint="eastAsia" w:ascii="宋体" w:hAnsi="宋体"/>
                <w:szCs w:val="21"/>
                <w:highlight w:val="none"/>
              </w:rPr>
              <w:t>≤0.1%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6</w:t>
            </w:r>
          </w:p>
        </w:tc>
        <w:tc>
          <w:tcPr>
            <w:tcW w:w="2053" w:type="dxa"/>
            <w:vAlign w:val="center"/>
          </w:tcPr>
          <w:p>
            <w:pPr>
              <w:jc w:val="center"/>
              <w:rPr>
                <w:rFonts w:ascii="宋体" w:hAnsi="宋体"/>
                <w:szCs w:val="21"/>
                <w:highlight w:val="none"/>
              </w:rPr>
            </w:pPr>
            <w:r>
              <w:rPr>
                <w:rFonts w:hint="eastAsia" w:ascii="宋体" w:hAnsi="宋体"/>
                <w:szCs w:val="21"/>
                <w:highlight w:val="none"/>
              </w:rPr>
              <w:t>多溴二苯醚</w:t>
            </w:r>
          </w:p>
        </w:tc>
        <w:tc>
          <w:tcPr>
            <w:tcW w:w="2775" w:type="dxa"/>
            <w:vAlign w:val="center"/>
          </w:tcPr>
          <w:p>
            <w:pPr>
              <w:jc w:val="center"/>
              <w:rPr>
                <w:rFonts w:ascii="宋体" w:hAnsi="宋体"/>
                <w:szCs w:val="21"/>
                <w:highlight w:val="none"/>
              </w:rPr>
            </w:pPr>
            <w:r>
              <w:rPr>
                <w:rFonts w:hint="eastAsia" w:ascii="宋体" w:hAnsi="宋体"/>
                <w:szCs w:val="21"/>
                <w:highlight w:val="none"/>
              </w:rPr>
              <w:t>≤1000 mg/kg</w:t>
            </w:r>
          </w:p>
        </w:tc>
        <w:tc>
          <w:tcPr>
            <w:tcW w:w="2475" w:type="dxa"/>
            <w:vAlign w:val="center"/>
          </w:tcPr>
          <w:p>
            <w:pPr>
              <w:jc w:val="center"/>
              <w:rPr>
                <w:rFonts w:ascii="宋体" w:hAnsi="宋体"/>
                <w:szCs w:val="21"/>
                <w:highlight w:val="none"/>
              </w:rPr>
            </w:pPr>
            <w:r>
              <w:rPr>
                <w:rFonts w:hint="eastAsia" w:ascii="宋体" w:hAnsi="宋体"/>
                <w:szCs w:val="21"/>
                <w:highlight w:val="none"/>
              </w:rPr>
              <w:t>≤0.1%</w:t>
            </w:r>
          </w:p>
        </w:tc>
      </w:tr>
    </w:tbl>
    <w:p>
      <w:pPr>
        <w:spacing w:line="360" w:lineRule="auto"/>
        <w:rPr>
          <w:rFonts w:ascii="黑体" w:hAnsi="黑体" w:eastAsia="黑体" w:cs="黑体"/>
          <w:sz w:val="24"/>
          <w:highlight w:val="none"/>
        </w:rPr>
      </w:pPr>
      <w:r>
        <w:rPr>
          <w:rFonts w:hint="eastAsia" w:ascii="黑体" w:hAnsi="黑体" w:eastAsia="黑体" w:cs="黑体"/>
          <w:sz w:val="24"/>
          <w:highlight w:val="none"/>
        </w:rPr>
        <w:t>2.2.12辐射</w:t>
      </w:r>
    </w:p>
    <w:p>
      <w:pPr>
        <w:spacing w:line="360" w:lineRule="auto"/>
        <w:ind w:firstLine="480" w:firstLineChars="200"/>
        <w:rPr>
          <w:rFonts w:hAnsi="宋体"/>
          <w:sz w:val="24"/>
          <w:highlight w:val="none"/>
        </w:rPr>
      </w:pPr>
      <w:r>
        <w:rPr>
          <w:rFonts w:hint="eastAsia" w:hAnsi="宋体"/>
          <w:sz w:val="24"/>
          <w:highlight w:val="none"/>
        </w:rPr>
        <w:t>辐射部分要求设计时减少对人体有害的影响，以及对起安全作用材料的破坏。同时，能产生电离辐射的电子部件也应符合标准要求。</w:t>
      </w:r>
    </w:p>
    <w:p>
      <w:pPr>
        <w:spacing w:line="360" w:lineRule="auto"/>
        <w:ind w:firstLine="480" w:firstLineChars="200"/>
        <w:rPr>
          <w:rFonts w:hAnsi="宋体"/>
          <w:sz w:val="24"/>
          <w:highlight w:val="none"/>
        </w:rPr>
      </w:pPr>
      <w:r>
        <w:rPr>
          <w:rFonts w:hint="eastAsia" w:hAnsi="宋体"/>
          <w:sz w:val="24"/>
          <w:highlight w:val="none"/>
        </w:rPr>
        <w:t>检测方法及要求参考GB 4943.1-2011附录H电离辐射。</w:t>
      </w:r>
    </w:p>
    <w:p>
      <w:pPr>
        <w:spacing w:line="360" w:lineRule="auto"/>
        <w:rPr>
          <w:rFonts w:ascii="黑体" w:hAnsi="黑体" w:eastAsia="黑体" w:cs="黑体"/>
          <w:sz w:val="24"/>
          <w:highlight w:val="none"/>
        </w:rPr>
      </w:pPr>
      <w:r>
        <w:rPr>
          <w:rFonts w:hint="eastAsia" w:ascii="黑体" w:hAnsi="黑体" w:eastAsia="黑体" w:cs="黑体"/>
          <w:sz w:val="24"/>
          <w:highlight w:val="none"/>
        </w:rPr>
        <w:t>2.2.13电气</w:t>
      </w:r>
    </w:p>
    <w:p>
      <w:pPr>
        <w:spacing w:line="360" w:lineRule="auto"/>
        <w:ind w:firstLine="480" w:firstLineChars="200"/>
        <w:rPr>
          <w:rFonts w:hAnsi="宋体"/>
          <w:sz w:val="24"/>
          <w:highlight w:val="none"/>
        </w:rPr>
      </w:pPr>
      <w:r>
        <w:rPr>
          <w:rFonts w:hint="eastAsia" w:hAnsi="宋体"/>
          <w:sz w:val="24"/>
          <w:highlight w:val="none"/>
        </w:rPr>
        <w:t>在电子安全要求部分，除了满足对家用电器GB 4706.1以及智能家电GB/T 28219的通用要求之外，还增加了对安全电压、防水、插头插座、遥控器、负荷等部分的要求。</w:t>
      </w:r>
    </w:p>
    <w:p>
      <w:pPr>
        <w:spacing w:line="360" w:lineRule="auto"/>
        <w:ind w:firstLine="480" w:firstLineChars="200"/>
        <w:rPr>
          <w:rFonts w:hAnsi="宋体"/>
          <w:sz w:val="24"/>
          <w:highlight w:val="none"/>
        </w:rPr>
      </w:pPr>
      <w:r>
        <w:rPr>
          <w:rFonts w:hAnsi="宋体"/>
          <w:sz w:val="24"/>
          <w:highlight w:val="none"/>
        </w:rPr>
        <w:t>智能家具产品的常规插头插座</w:t>
      </w:r>
      <w:r>
        <w:rPr>
          <w:rFonts w:hint="eastAsia" w:hAnsi="宋体"/>
          <w:sz w:val="24"/>
          <w:highlight w:val="none"/>
        </w:rPr>
        <w:t>要求参考了</w:t>
      </w:r>
      <w:r>
        <w:rPr>
          <w:rFonts w:hAnsi="宋体"/>
          <w:sz w:val="24"/>
          <w:highlight w:val="none"/>
        </w:rPr>
        <w:t>GB/T 1002</w:t>
      </w:r>
      <w:r>
        <w:rPr>
          <w:rFonts w:hint="eastAsia" w:hAnsi="宋体"/>
          <w:sz w:val="24"/>
          <w:highlight w:val="none"/>
        </w:rPr>
        <w:t>—</w:t>
      </w:r>
      <w:r>
        <w:rPr>
          <w:rFonts w:hAnsi="宋体"/>
          <w:sz w:val="24"/>
          <w:highlight w:val="none"/>
        </w:rPr>
        <w:t>2021。智能插座</w:t>
      </w:r>
      <w:r>
        <w:rPr>
          <w:rFonts w:hint="eastAsia" w:hAnsi="宋体"/>
          <w:sz w:val="24"/>
          <w:highlight w:val="none"/>
        </w:rPr>
        <w:t>内容参考了</w:t>
      </w:r>
      <w:r>
        <w:rPr>
          <w:rFonts w:hAnsi="宋体"/>
          <w:sz w:val="24"/>
          <w:highlight w:val="none"/>
        </w:rPr>
        <w:t>GB/T 35136—2017中6.9的要求</w:t>
      </w:r>
      <w:r>
        <w:rPr>
          <w:rFonts w:hint="eastAsia" w:hAnsi="宋体"/>
          <w:sz w:val="24"/>
          <w:highlight w:val="none"/>
        </w:rPr>
        <w:t>。</w:t>
      </w:r>
    </w:p>
    <w:p>
      <w:pPr>
        <w:spacing w:line="360" w:lineRule="auto"/>
        <w:rPr>
          <w:rFonts w:ascii="黑体" w:hAnsi="黑体" w:eastAsia="黑体" w:cs="黑体"/>
          <w:sz w:val="24"/>
          <w:highlight w:val="none"/>
        </w:rPr>
      </w:pPr>
      <w:r>
        <w:rPr>
          <w:rFonts w:hint="eastAsia" w:ascii="黑体" w:hAnsi="黑体" w:eastAsia="黑体" w:cs="黑体"/>
          <w:sz w:val="24"/>
          <w:highlight w:val="none"/>
        </w:rPr>
        <w:t>2.2.14信息化</w:t>
      </w:r>
    </w:p>
    <w:p>
      <w:pPr>
        <w:spacing w:line="360" w:lineRule="auto"/>
        <w:ind w:firstLine="480" w:firstLineChars="200"/>
        <w:rPr>
          <w:rFonts w:hAnsi="宋体"/>
          <w:sz w:val="24"/>
          <w:highlight w:val="none"/>
        </w:rPr>
      </w:pPr>
      <w:r>
        <w:rPr>
          <w:rFonts w:hint="eastAsia" w:hAnsi="宋体"/>
          <w:sz w:val="24"/>
          <w:highlight w:val="none"/>
        </w:rPr>
        <w:t>智能家具产品的信息安全，应符合</w:t>
      </w:r>
      <w:r>
        <w:rPr>
          <w:rFonts w:hAnsi="宋体"/>
          <w:sz w:val="24"/>
          <w:highlight w:val="none"/>
        </w:rPr>
        <w:t>GB/T 41387—2022</w:t>
      </w:r>
      <w:r>
        <w:rPr>
          <w:rFonts w:hint="eastAsia" w:hAnsi="宋体"/>
          <w:sz w:val="24"/>
          <w:highlight w:val="none"/>
        </w:rPr>
        <w:t>《</w:t>
      </w:r>
      <w:r>
        <w:rPr>
          <w:rFonts w:hAnsi="宋体"/>
          <w:sz w:val="24"/>
          <w:highlight w:val="none"/>
        </w:rPr>
        <w:t>信息安全技术 智能家居通用安全规范</w:t>
      </w:r>
      <w:r>
        <w:rPr>
          <w:rFonts w:hint="eastAsia" w:hAnsi="宋体"/>
          <w:sz w:val="24"/>
          <w:highlight w:val="none"/>
        </w:rPr>
        <w:t>》</w:t>
      </w:r>
      <w:r>
        <w:rPr>
          <w:rFonts w:hint="eastAsia" w:hAnsi="宋体"/>
          <w:sz w:val="24"/>
          <w:highlight w:val="none"/>
          <w:lang w:eastAsia="zh-CN"/>
        </w:rPr>
        <w:t>。</w:t>
      </w:r>
      <w:r>
        <w:rPr>
          <w:rFonts w:hint="eastAsia" w:hAnsi="宋体"/>
          <w:sz w:val="24"/>
          <w:highlight w:val="none"/>
        </w:rPr>
        <w:t>蓝牙应符合GB/T 38648 《信息安全技术 蓝牙安全指南》的要求。</w:t>
      </w:r>
    </w:p>
    <w:p>
      <w:pPr>
        <w:spacing w:line="360" w:lineRule="auto"/>
        <w:rPr>
          <w:rFonts w:hint="eastAsia" w:ascii="黑体" w:hAnsi="黑体" w:eastAsia="黑体" w:cs="黑体"/>
          <w:sz w:val="24"/>
          <w:highlight w:val="none"/>
          <w:lang w:val="en-US" w:eastAsia="zh-CN"/>
        </w:rPr>
      </w:pPr>
      <w:r>
        <w:rPr>
          <w:rFonts w:hint="eastAsia" w:ascii="黑体" w:hAnsi="黑体" w:eastAsia="黑体" w:cs="黑体"/>
          <w:sz w:val="24"/>
          <w:highlight w:val="none"/>
        </w:rPr>
        <w:t>2.2.15阻燃</w:t>
      </w:r>
      <w:r>
        <w:rPr>
          <w:rFonts w:hint="eastAsia" w:ascii="黑体" w:hAnsi="黑体" w:eastAsia="黑体" w:cs="黑体"/>
          <w:sz w:val="24"/>
          <w:highlight w:val="none"/>
          <w:lang w:val="en-US" w:eastAsia="zh-CN"/>
        </w:rPr>
        <w:t>性</w:t>
      </w:r>
    </w:p>
    <w:p>
      <w:pPr>
        <w:spacing w:line="360" w:lineRule="auto"/>
        <w:ind w:firstLine="480" w:firstLineChars="200"/>
        <w:rPr>
          <w:rFonts w:hint="eastAsia" w:hAnsi="宋体"/>
          <w:sz w:val="24"/>
          <w:highlight w:val="none"/>
        </w:rPr>
      </w:pPr>
      <w:r>
        <w:rPr>
          <w:rFonts w:hint="eastAsia" w:hAnsi="宋体"/>
          <w:sz w:val="24"/>
          <w:highlight w:val="none"/>
        </w:rPr>
        <w:t>家用软体家具的阻燃性应符合</w:t>
      </w:r>
      <w:r>
        <w:rPr>
          <w:rFonts w:hint="eastAsia" w:hAnsi="宋体"/>
          <w:sz w:val="24"/>
          <w:highlight w:val="none"/>
          <w:lang w:val="en-US" w:eastAsia="zh-CN"/>
        </w:rPr>
        <w:t>最新标准</w:t>
      </w:r>
      <w:r>
        <w:rPr>
          <w:rFonts w:hint="eastAsia" w:hAnsi="宋体"/>
          <w:sz w:val="24"/>
          <w:highlight w:val="none"/>
        </w:rPr>
        <w:t>GB/T 家具阻燃性能安全技术规范（</w:t>
      </w:r>
      <w:r>
        <w:rPr>
          <w:rFonts w:hint="eastAsia" w:hAnsi="宋体"/>
          <w:sz w:val="24"/>
          <w:highlight w:val="none"/>
          <w:lang w:val="en-US" w:eastAsia="zh-CN"/>
        </w:rPr>
        <w:t>征求意见</w:t>
      </w:r>
      <w:r>
        <w:rPr>
          <w:rFonts w:hint="eastAsia" w:hAnsi="宋体"/>
          <w:sz w:val="24"/>
          <w:highlight w:val="none"/>
        </w:rPr>
        <w:t>稿）中</w:t>
      </w:r>
      <w:r>
        <w:rPr>
          <w:rFonts w:hint="eastAsia" w:hAnsi="宋体"/>
          <w:sz w:val="24"/>
          <w:highlight w:val="none"/>
          <w:lang w:eastAsia="zh-CN"/>
        </w:rPr>
        <w:t>“</w:t>
      </w:r>
      <w:r>
        <w:rPr>
          <w:rFonts w:hint="eastAsia" w:hAnsi="宋体"/>
          <w:sz w:val="24"/>
          <w:highlight w:val="none"/>
        </w:rPr>
        <w:t>5.6点火源--香烟引燃试验程序</w:t>
      </w:r>
      <w:r>
        <w:rPr>
          <w:rFonts w:hint="eastAsia" w:hAnsi="宋体"/>
          <w:sz w:val="24"/>
          <w:highlight w:val="none"/>
          <w:lang w:eastAsia="zh-CN"/>
        </w:rPr>
        <w:t>”</w:t>
      </w:r>
      <w:r>
        <w:rPr>
          <w:rFonts w:hint="eastAsia" w:hAnsi="宋体"/>
          <w:sz w:val="24"/>
          <w:highlight w:val="none"/>
        </w:rPr>
        <w:t>的要求，公共场所用软体家具的阻燃性应符合GB/T 家具阻燃性能安全技术规范（</w:t>
      </w:r>
      <w:r>
        <w:rPr>
          <w:rFonts w:hint="eastAsia" w:hAnsi="宋体"/>
          <w:sz w:val="24"/>
          <w:highlight w:val="none"/>
          <w:lang w:val="en-US" w:eastAsia="zh-CN"/>
        </w:rPr>
        <w:t>征求意见</w:t>
      </w:r>
      <w:r>
        <w:rPr>
          <w:rFonts w:hint="eastAsia" w:hAnsi="宋体"/>
          <w:sz w:val="24"/>
          <w:highlight w:val="none"/>
        </w:rPr>
        <w:t>稿）中</w:t>
      </w:r>
      <w:r>
        <w:rPr>
          <w:rFonts w:hint="eastAsia" w:hAnsi="宋体"/>
          <w:sz w:val="24"/>
          <w:highlight w:val="none"/>
          <w:lang w:eastAsia="zh-CN"/>
        </w:rPr>
        <w:t>“</w:t>
      </w:r>
      <w:r>
        <w:rPr>
          <w:rFonts w:hint="eastAsia" w:hAnsi="宋体"/>
          <w:sz w:val="24"/>
          <w:highlight w:val="none"/>
        </w:rPr>
        <w:t>5.7点火源-模拟火柴火焰引燃试验程序</w:t>
      </w:r>
      <w:r>
        <w:rPr>
          <w:rFonts w:hint="eastAsia" w:hAnsi="宋体"/>
          <w:sz w:val="24"/>
          <w:highlight w:val="none"/>
          <w:lang w:eastAsia="zh-CN"/>
        </w:rPr>
        <w:t>”</w:t>
      </w:r>
      <w:r>
        <w:rPr>
          <w:rFonts w:hint="eastAsia" w:hAnsi="宋体"/>
          <w:sz w:val="24"/>
          <w:highlight w:val="none"/>
        </w:rPr>
        <w:t>的要求，其他类型智能家具及组件的阻燃性由供需双方在合同中约定。</w:t>
      </w:r>
    </w:p>
    <w:p>
      <w:pPr>
        <w:spacing w:line="360" w:lineRule="auto"/>
        <w:rPr>
          <w:rFonts w:ascii="黑体" w:hAnsi="黑体" w:eastAsia="黑体" w:cs="黑体"/>
          <w:sz w:val="24"/>
          <w:highlight w:val="none"/>
        </w:rPr>
      </w:pPr>
      <w:r>
        <w:rPr>
          <w:rFonts w:hint="eastAsia" w:ascii="黑体" w:hAnsi="黑体" w:eastAsia="黑体" w:cs="黑体"/>
          <w:sz w:val="24"/>
          <w:highlight w:val="none"/>
        </w:rPr>
        <w:t>2.2.16电磁兼容</w:t>
      </w:r>
    </w:p>
    <w:p>
      <w:pPr>
        <w:spacing w:line="360" w:lineRule="auto"/>
        <w:ind w:firstLine="480" w:firstLineChars="200"/>
        <w:rPr>
          <w:rFonts w:hAnsi="宋体"/>
          <w:sz w:val="24"/>
          <w:highlight w:val="none"/>
        </w:rPr>
      </w:pPr>
      <w:r>
        <w:rPr>
          <w:rFonts w:hint="eastAsia" w:hAnsi="宋体"/>
          <w:sz w:val="24"/>
          <w:highlight w:val="none"/>
        </w:rPr>
        <w:t>对电磁兼容有要求的智能家具主要有T/NKFA 001-2021《智能家具 智能化通用技术要求》、T/SZFA 3017-2022 《智能家具 智能床》、T/SZFA 3016.2-2022《智能家具 智能等级评价准则 第2部分：智能床》、T/ZZB 1598-2020《智能床》、T/CNFA 8-2019《智能家具 多功能床》。</w:t>
      </w:r>
    </w:p>
    <w:p>
      <w:pPr>
        <w:pStyle w:val="18"/>
        <w:tabs>
          <w:tab w:val="center" w:pos="4201"/>
          <w:tab w:val="right" w:leader="dot" w:pos="9298"/>
        </w:tabs>
        <w:spacing w:beforeLines="50" w:afterLines="50"/>
        <w:ind w:firstLine="0" w:firstLineChars="0"/>
        <w:jc w:val="center"/>
        <w:rPr>
          <w:rFonts w:eastAsia="黑体"/>
          <w:highlight w:val="none"/>
        </w:rPr>
      </w:pPr>
      <w:r>
        <w:rPr>
          <w:rFonts w:hint="eastAsia" w:ascii="黑体" w:hAnsi="黑体" w:eastAsia="黑体"/>
          <w:highlight w:val="none"/>
        </w:rPr>
        <w:t>表5　各类智能家具产品对电磁兼容的要求</w:t>
      </w:r>
    </w:p>
    <w:tbl>
      <w:tblPr>
        <w:tblStyle w:val="10"/>
        <w:tblW w:w="847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39"/>
        <w:gridCol w:w="2919"/>
        <w:gridCol w:w="411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blHeader/>
        </w:trPr>
        <w:tc>
          <w:tcPr>
            <w:tcW w:w="1439" w:type="dxa"/>
            <w:tcBorders>
              <w:top w:val="single" w:color="000000" w:sz="12" w:space="0"/>
            </w:tcBorders>
            <w:vAlign w:val="center"/>
          </w:tcPr>
          <w:p>
            <w:pPr>
              <w:jc w:val="center"/>
              <w:rPr>
                <w:rFonts w:ascii="宋体" w:hAnsi="宋体"/>
                <w:b/>
                <w:bCs/>
                <w:szCs w:val="21"/>
                <w:highlight w:val="none"/>
              </w:rPr>
            </w:pPr>
            <w:r>
              <w:rPr>
                <w:rFonts w:hint="eastAsia" w:ascii="宋体" w:hAnsi="宋体"/>
                <w:b/>
                <w:bCs/>
                <w:szCs w:val="21"/>
                <w:highlight w:val="none"/>
              </w:rPr>
              <w:t>序号</w:t>
            </w:r>
          </w:p>
        </w:tc>
        <w:tc>
          <w:tcPr>
            <w:tcW w:w="2919" w:type="dxa"/>
            <w:tcBorders>
              <w:top w:val="single" w:color="000000" w:sz="12" w:space="0"/>
            </w:tcBorders>
            <w:vAlign w:val="center"/>
          </w:tcPr>
          <w:p>
            <w:pPr>
              <w:jc w:val="center"/>
              <w:rPr>
                <w:rFonts w:ascii="宋体" w:hAnsi="宋体"/>
                <w:b/>
                <w:bCs/>
                <w:szCs w:val="21"/>
                <w:highlight w:val="none"/>
              </w:rPr>
            </w:pPr>
            <w:r>
              <w:rPr>
                <w:rFonts w:hint="eastAsia" w:ascii="宋体" w:hAnsi="宋体"/>
                <w:b/>
                <w:bCs/>
                <w:szCs w:val="21"/>
                <w:highlight w:val="none"/>
              </w:rPr>
              <w:t>标准名称</w:t>
            </w:r>
          </w:p>
        </w:tc>
        <w:tc>
          <w:tcPr>
            <w:tcW w:w="4114" w:type="dxa"/>
            <w:tcBorders>
              <w:top w:val="single" w:color="000000" w:sz="12" w:space="0"/>
            </w:tcBorders>
            <w:vAlign w:val="center"/>
          </w:tcPr>
          <w:p>
            <w:pPr>
              <w:jc w:val="center"/>
              <w:rPr>
                <w:rFonts w:ascii="宋体" w:hAnsi="宋体"/>
                <w:b/>
                <w:bCs/>
                <w:szCs w:val="21"/>
                <w:highlight w:val="none"/>
              </w:rPr>
            </w:pPr>
            <w:r>
              <w:rPr>
                <w:rFonts w:hint="eastAsia" w:ascii="宋体" w:hAnsi="宋体"/>
                <w:b/>
                <w:bCs/>
                <w:szCs w:val="21"/>
                <w:highlight w:val="none"/>
              </w:rPr>
              <w:t>电磁兼容部分的要求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1</w:t>
            </w:r>
          </w:p>
        </w:tc>
        <w:tc>
          <w:tcPr>
            <w:tcW w:w="2919" w:type="dxa"/>
            <w:vAlign w:val="center"/>
          </w:tcPr>
          <w:p>
            <w:pPr>
              <w:jc w:val="center"/>
              <w:rPr>
                <w:rFonts w:ascii="宋体" w:hAnsi="宋体"/>
                <w:szCs w:val="21"/>
                <w:highlight w:val="none"/>
              </w:rPr>
            </w:pPr>
            <w:r>
              <w:rPr>
                <w:rFonts w:hint="eastAsia" w:ascii="宋体" w:hAnsi="宋体"/>
                <w:szCs w:val="21"/>
                <w:highlight w:val="none"/>
              </w:rPr>
              <w:t>T/NKFA 001-2021《智能家具 智能化通用技术要求》</w:t>
            </w:r>
          </w:p>
        </w:tc>
        <w:tc>
          <w:tcPr>
            <w:tcW w:w="4114" w:type="dxa"/>
            <w:vAlign w:val="center"/>
          </w:tcPr>
          <w:p>
            <w:pPr>
              <w:jc w:val="center"/>
              <w:rPr>
                <w:rFonts w:ascii="宋体" w:hAnsi="宋体"/>
                <w:szCs w:val="21"/>
                <w:highlight w:val="none"/>
              </w:rPr>
            </w:pPr>
            <w:r>
              <w:rPr>
                <w:rFonts w:hint="eastAsia" w:ascii="宋体" w:hAnsi="宋体"/>
                <w:szCs w:val="21"/>
                <w:highlight w:val="none"/>
              </w:rPr>
              <w:t>静电放电抗扰度 GBT 17626.2-2018</w:t>
            </w:r>
          </w:p>
          <w:p>
            <w:pPr>
              <w:jc w:val="center"/>
              <w:rPr>
                <w:rFonts w:ascii="宋体" w:hAnsi="宋体"/>
                <w:szCs w:val="21"/>
                <w:highlight w:val="none"/>
              </w:rPr>
            </w:pPr>
            <w:r>
              <w:rPr>
                <w:rFonts w:hint="eastAsia" w:ascii="宋体" w:hAnsi="宋体"/>
                <w:szCs w:val="21"/>
                <w:highlight w:val="none"/>
              </w:rPr>
              <w:t>射频电场辐射抗扰度 GBT 17626.3-2016</w:t>
            </w:r>
          </w:p>
          <w:p>
            <w:pPr>
              <w:jc w:val="center"/>
              <w:rPr>
                <w:rFonts w:ascii="宋体" w:hAnsi="宋体"/>
                <w:szCs w:val="21"/>
                <w:highlight w:val="none"/>
              </w:rPr>
            </w:pPr>
            <w:r>
              <w:rPr>
                <w:rFonts w:hint="eastAsia" w:ascii="宋体" w:hAnsi="宋体"/>
                <w:szCs w:val="21"/>
                <w:highlight w:val="none"/>
              </w:rPr>
              <w:t>电快速瞬变脉冲群抗扰度GBT 17626.4-2018</w:t>
            </w:r>
          </w:p>
          <w:p>
            <w:pPr>
              <w:jc w:val="center"/>
              <w:rPr>
                <w:rFonts w:ascii="宋体" w:hAnsi="宋体"/>
                <w:szCs w:val="21"/>
                <w:highlight w:val="none"/>
              </w:rPr>
            </w:pPr>
            <w:r>
              <w:rPr>
                <w:rFonts w:hint="eastAsia" w:ascii="宋体" w:hAnsi="宋体"/>
                <w:szCs w:val="21"/>
                <w:highlight w:val="none"/>
              </w:rPr>
              <w:t>浪涌（冲击）抗扰度GBT 17626.5-2019</w:t>
            </w:r>
          </w:p>
          <w:p>
            <w:pPr>
              <w:jc w:val="center"/>
              <w:rPr>
                <w:rFonts w:ascii="宋体" w:hAnsi="宋体"/>
                <w:b/>
                <w:szCs w:val="21"/>
                <w:highlight w:val="none"/>
              </w:rPr>
            </w:pPr>
            <w:r>
              <w:rPr>
                <w:rFonts w:hint="eastAsia" w:ascii="宋体" w:hAnsi="宋体"/>
                <w:szCs w:val="21"/>
                <w:highlight w:val="none"/>
              </w:rPr>
              <w:t>电压暂降、短时中断抗扰度GBT 17626.11-2008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2</w:t>
            </w:r>
          </w:p>
        </w:tc>
        <w:tc>
          <w:tcPr>
            <w:tcW w:w="2919" w:type="dxa"/>
            <w:vAlign w:val="center"/>
          </w:tcPr>
          <w:p>
            <w:pPr>
              <w:jc w:val="center"/>
              <w:rPr>
                <w:rFonts w:ascii="宋体" w:hAnsi="宋体"/>
                <w:szCs w:val="21"/>
                <w:highlight w:val="none"/>
              </w:rPr>
            </w:pPr>
            <w:r>
              <w:rPr>
                <w:rFonts w:hint="eastAsia" w:ascii="宋体" w:hAnsi="宋体"/>
                <w:szCs w:val="21"/>
                <w:highlight w:val="none"/>
              </w:rPr>
              <w:t>T/SZFA 3017-2022 《智能家具 智能床》</w:t>
            </w:r>
          </w:p>
        </w:tc>
        <w:tc>
          <w:tcPr>
            <w:tcW w:w="4114" w:type="dxa"/>
            <w:vAlign w:val="center"/>
          </w:tcPr>
          <w:p>
            <w:pPr>
              <w:jc w:val="center"/>
              <w:rPr>
                <w:rFonts w:ascii="宋体" w:hAnsi="宋体"/>
                <w:szCs w:val="21"/>
                <w:highlight w:val="none"/>
              </w:rPr>
            </w:pPr>
            <w:r>
              <w:rPr>
                <w:rFonts w:hint="eastAsia" w:ascii="宋体" w:hAnsi="宋体"/>
                <w:szCs w:val="21"/>
                <w:highlight w:val="none"/>
              </w:rPr>
              <w:t>电源端子骚扰电压</w:t>
            </w:r>
          </w:p>
          <w:p>
            <w:pPr>
              <w:jc w:val="center"/>
              <w:rPr>
                <w:rFonts w:ascii="宋体" w:hAnsi="宋体"/>
                <w:szCs w:val="21"/>
                <w:highlight w:val="none"/>
              </w:rPr>
            </w:pPr>
            <w:r>
              <w:rPr>
                <w:rFonts w:hint="eastAsia" w:ascii="宋体" w:hAnsi="宋体"/>
                <w:szCs w:val="21"/>
                <w:highlight w:val="none"/>
              </w:rPr>
              <w:t>辐射骚扰</w:t>
            </w:r>
          </w:p>
          <w:p>
            <w:pPr>
              <w:jc w:val="center"/>
              <w:rPr>
                <w:rFonts w:ascii="宋体" w:hAnsi="宋体"/>
                <w:szCs w:val="21"/>
                <w:highlight w:val="none"/>
              </w:rPr>
            </w:pPr>
            <w:r>
              <w:rPr>
                <w:rFonts w:hint="eastAsia" w:ascii="宋体" w:hAnsi="宋体"/>
                <w:szCs w:val="21"/>
                <w:highlight w:val="none"/>
              </w:rPr>
              <w:t>谐波电流</w:t>
            </w:r>
          </w:p>
          <w:p>
            <w:pPr>
              <w:jc w:val="center"/>
              <w:rPr>
                <w:rFonts w:ascii="宋体" w:hAnsi="宋体"/>
                <w:szCs w:val="21"/>
                <w:highlight w:val="none"/>
              </w:rPr>
            </w:pPr>
            <w:r>
              <w:rPr>
                <w:rFonts w:hint="eastAsia" w:ascii="宋体" w:hAnsi="宋体"/>
                <w:szCs w:val="21"/>
                <w:highlight w:val="none"/>
              </w:rPr>
              <w:t>电压变化、电压波动和闪烁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3</w:t>
            </w:r>
          </w:p>
        </w:tc>
        <w:tc>
          <w:tcPr>
            <w:tcW w:w="2919" w:type="dxa"/>
            <w:vAlign w:val="center"/>
          </w:tcPr>
          <w:p>
            <w:pPr>
              <w:jc w:val="center"/>
              <w:rPr>
                <w:rFonts w:ascii="宋体" w:hAnsi="宋体"/>
                <w:szCs w:val="21"/>
                <w:highlight w:val="none"/>
              </w:rPr>
            </w:pPr>
            <w:r>
              <w:rPr>
                <w:rFonts w:hint="eastAsia" w:ascii="宋体" w:hAnsi="宋体"/>
                <w:szCs w:val="21"/>
                <w:highlight w:val="none"/>
              </w:rPr>
              <w:t>T/SZFA 3016.2-2022《智能家具 智能等级评价准则 第2部分：智能床》</w:t>
            </w:r>
          </w:p>
        </w:tc>
        <w:tc>
          <w:tcPr>
            <w:tcW w:w="4114" w:type="dxa"/>
            <w:vAlign w:val="center"/>
          </w:tcPr>
          <w:p>
            <w:pPr>
              <w:jc w:val="center"/>
              <w:rPr>
                <w:rFonts w:ascii="宋体" w:hAnsi="宋体"/>
                <w:szCs w:val="21"/>
                <w:highlight w:val="none"/>
              </w:rPr>
            </w:pPr>
            <w:r>
              <w:rPr>
                <w:rFonts w:hint="eastAsia" w:ascii="宋体" w:hAnsi="宋体"/>
                <w:szCs w:val="21"/>
                <w:highlight w:val="none"/>
              </w:rPr>
              <w:t>电源端子骚扰电压/辐射骚扰/谐波电流/电压变化、电压波动和闪烁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4</w:t>
            </w:r>
          </w:p>
        </w:tc>
        <w:tc>
          <w:tcPr>
            <w:tcW w:w="2919" w:type="dxa"/>
            <w:vAlign w:val="center"/>
          </w:tcPr>
          <w:p>
            <w:pPr>
              <w:jc w:val="center"/>
              <w:rPr>
                <w:rFonts w:ascii="宋体" w:hAnsi="宋体"/>
                <w:szCs w:val="21"/>
                <w:highlight w:val="none"/>
              </w:rPr>
            </w:pPr>
            <w:r>
              <w:rPr>
                <w:rFonts w:hint="eastAsia" w:ascii="宋体" w:hAnsi="宋体"/>
                <w:szCs w:val="21"/>
                <w:highlight w:val="none"/>
              </w:rPr>
              <w:t>T/ZZB 1598-2020《智能床》</w:t>
            </w:r>
          </w:p>
        </w:tc>
        <w:tc>
          <w:tcPr>
            <w:tcW w:w="4114" w:type="dxa"/>
            <w:vAlign w:val="center"/>
          </w:tcPr>
          <w:p>
            <w:pPr>
              <w:jc w:val="center"/>
              <w:rPr>
                <w:rFonts w:ascii="宋体" w:hAnsi="宋体"/>
                <w:szCs w:val="21"/>
                <w:highlight w:val="none"/>
              </w:rPr>
            </w:pPr>
            <w:r>
              <w:rPr>
                <w:rFonts w:hint="eastAsia" w:ascii="宋体" w:hAnsi="宋体"/>
                <w:szCs w:val="21"/>
                <w:highlight w:val="none"/>
              </w:rPr>
              <w:t>电磁兼容：电磁辐射/骚扰限值/抗扰度/静电放电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439" w:type="dxa"/>
            <w:vAlign w:val="center"/>
          </w:tcPr>
          <w:p>
            <w:pPr>
              <w:jc w:val="center"/>
              <w:rPr>
                <w:rFonts w:ascii="宋体" w:hAnsi="宋体"/>
                <w:szCs w:val="21"/>
                <w:highlight w:val="none"/>
              </w:rPr>
            </w:pPr>
            <w:r>
              <w:rPr>
                <w:rFonts w:hint="eastAsia" w:ascii="宋体" w:hAnsi="宋体"/>
                <w:szCs w:val="21"/>
                <w:highlight w:val="none"/>
              </w:rPr>
              <w:t>5</w:t>
            </w:r>
          </w:p>
        </w:tc>
        <w:tc>
          <w:tcPr>
            <w:tcW w:w="2919" w:type="dxa"/>
            <w:vAlign w:val="center"/>
          </w:tcPr>
          <w:p>
            <w:pPr>
              <w:jc w:val="center"/>
              <w:rPr>
                <w:rFonts w:ascii="宋体" w:hAnsi="宋体"/>
                <w:szCs w:val="21"/>
                <w:highlight w:val="none"/>
              </w:rPr>
            </w:pPr>
            <w:r>
              <w:rPr>
                <w:rFonts w:hint="eastAsia" w:ascii="宋体" w:hAnsi="宋体"/>
                <w:szCs w:val="21"/>
                <w:highlight w:val="none"/>
              </w:rPr>
              <w:t>T/CNFA 8-2019《智能家具 多功能床》</w:t>
            </w:r>
          </w:p>
        </w:tc>
        <w:tc>
          <w:tcPr>
            <w:tcW w:w="4114" w:type="dxa"/>
            <w:vAlign w:val="center"/>
          </w:tcPr>
          <w:p>
            <w:pPr>
              <w:jc w:val="center"/>
              <w:rPr>
                <w:rFonts w:ascii="宋体" w:hAnsi="宋体"/>
                <w:szCs w:val="21"/>
                <w:highlight w:val="none"/>
              </w:rPr>
            </w:pPr>
            <w:r>
              <w:rPr>
                <w:rFonts w:hint="eastAsia" w:ascii="宋体" w:hAnsi="宋体"/>
                <w:szCs w:val="21"/>
                <w:highlight w:val="none"/>
              </w:rPr>
              <w:t>GB 4343.1-2018 家用电器、电动工具和类似器具的电磁兼容要求 第1部分：发射</w:t>
            </w:r>
          </w:p>
          <w:p>
            <w:pPr>
              <w:jc w:val="center"/>
              <w:rPr>
                <w:rFonts w:ascii="宋体" w:hAnsi="宋体"/>
                <w:szCs w:val="21"/>
                <w:highlight w:val="none"/>
              </w:rPr>
            </w:pPr>
            <w:r>
              <w:rPr>
                <w:rFonts w:ascii="宋体" w:hAnsi="宋体"/>
                <w:szCs w:val="21"/>
                <w:highlight w:val="none"/>
              </w:rPr>
              <w:t>GB/T 4343.2-2009</w:t>
            </w:r>
            <w:r>
              <w:rPr>
                <w:rFonts w:hint="eastAsia" w:ascii="宋体" w:hAnsi="宋体"/>
                <w:szCs w:val="21"/>
                <w:highlight w:val="none"/>
              </w:rPr>
              <w:t xml:space="preserve"> 家用电器、电动工具和类似器具的电磁兼容要求 第2部分：抗扰度（现行标准已更新至2020版）</w:t>
            </w:r>
          </w:p>
        </w:tc>
      </w:tr>
    </w:tbl>
    <w:p>
      <w:pPr>
        <w:spacing w:line="360" w:lineRule="auto"/>
        <w:ind w:firstLine="480" w:firstLineChars="200"/>
        <w:rPr>
          <w:rFonts w:hAnsi="宋体"/>
          <w:sz w:val="24"/>
          <w:highlight w:val="none"/>
        </w:rPr>
      </w:pPr>
      <w:r>
        <w:rPr>
          <w:rFonts w:hint="eastAsia" w:hAnsi="宋体"/>
          <w:sz w:val="24"/>
          <w:highlight w:val="none"/>
        </w:rPr>
        <w:t>本标准综合考虑了各智能家具产品标准对电磁兼容部分的要求内容，并参考了智能家具生产企业使用</w:t>
      </w:r>
      <w:r>
        <w:rPr>
          <w:rFonts w:hAnsi="宋体"/>
          <w:sz w:val="24"/>
          <w:highlight w:val="none"/>
        </w:rPr>
        <w:t>GB 4343系列</w:t>
      </w:r>
      <w:r>
        <w:rPr>
          <w:rFonts w:hint="eastAsia" w:hAnsi="宋体"/>
          <w:sz w:val="24"/>
          <w:highlight w:val="none"/>
        </w:rPr>
        <w:t>检测标准，同时参考T/CNFA 8-2019《智能家具 多功能床》的表述方式，对家具电磁兼容性进行要求。</w:t>
      </w:r>
    </w:p>
    <w:p>
      <w:pPr>
        <w:spacing w:line="360" w:lineRule="auto"/>
        <w:rPr>
          <w:rFonts w:ascii="黑体" w:hAnsi="黑体" w:eastAsia="黑体" w:cs="黑体"/>
          <w:color w:val="000000" w:themeColor="text1"/>
          <w:sz w:val="24"/>
          <w:highlight w:val="none"/>
        </w:rPr>
      </w:pPr>
      <w:r>
        <w:rPr>
          <w:rFonts w:hint="eastAsia" w:ascii="黑体" w:hAnsi="黑体" w:eastAsia="黑体" w:cs="黑体"/>
          <w:color w:val="000000" w:themeColor="text1"/>
          <w:sz w:val="24"/>
          <w:highlight w:val="none"/>
        </w:rPr>
        <w:t>2.2.17通讯信号</w:t>
      </w:r>
    </w:p>
    <w:p>
      <w:pPr>
        <w:spacing w:line="360" w:lineRule="auto"/>
        <w:ind w:firstLine="480" w:firstLineChars="200"/>
        <w:rPr>
          <w:rFonts w:hint="eastAsia" w:hAnsi="宋体"/>
          <w:sz w:val="24"/>
          <w:highlight w:val="none"/>
        </w:rPr>
      </w:pPr>
      <w:r>
        <w:rPr>
          <w:rFonts w:hint="eastAsia" w:hAnsi="宋体"/>
          <w:sz w:val="24"/>
          <w:highlight w:val="none"/>
        </w:rPr>
        <w:t>通讯信号、蓝牙部分的要求，参考了</w:t>
      </w:r>
      <w:r>
        <w:rPr>
          <w:rFonts w:hAnsi="宋体"/>
          <w:sz w:val="24"/>
          <w:highlight w:val="none"/>
        </w:rPr>
        <w:t>T/SZFA 3017-2022 《智能家具 智能床》4.9.2</w:t>
      </w:r>
      <w:r>
        <w:rPr>
          <w:rFonts w:hint="eastAsia" w:hAnsi="宋体"/>
          <w:sz w:val="24"/>
          <w:highlight w:val="none"/>
        </w:rPr>
        <w:t>、4.9.3</w:t>
      </w:r>
      <w:r>
        <w:rPr>
          <w:rFonts w:hAnsi="宋体"/>
          <w:sz w:val="24"/>
          <w:highlight w:val="none"/>
        </w:rPr>
        <w:t>无线通讯</w:t>
      </w:r>
      <w:r>
        <w:rPr>
          <w:rFonts w:hint="eastAsia" w:hAnsi="宋体"/>
          <w:sz w:val="24"/>
          <w:highlight w:val="none"/>
        </w:rPr>
        <w:t>部分的要求和试验方法。</w:t>
      </w:r>
    </w:p>
    <w:p>
      <w:pPr>
        <w:spacing w:line="360" w:lineRule="auto"/>
        <w:ind w:firstLine="480" w:firstLineChars="200"/>
        <w:rPr>
          <w:rFonts w:hAnsi="宋体"/>
          <w:sz w:val="24"/>
          <w:highlight w:val="none"/>
        </w:rPr>
      </w:pPr>
      <w:r>
        <w:rPr>
          <w:rFonts w:hint="eastAsia" w:hAnsi="宋体"/>
          <w:sz w:val="24"/>
          <w:highlight w:val="none"/>
        </w:rPr>
        <w:t>声控设备和语音交互符合GB/T 36464.2的要求。</w:t>
      </w:r>
    </w:p>
    <w:p>
      <w:pPr>
        <w:spacing w:line="360" w:lineRule="auto"/>
        <w:rPr>
          <w:rFonts w:ascii="黑体" w:hAnsi="黑体" w:eastAsia="黑体" w:cs="黑体"/>
          <w:sz w:val="24"/>
          <w:highlight w:val="none"/>
        </w:rPr>
      </w:pPr>
      <w:r>
        <w:rPr>
          <w:rFonts w:hint="eastAsia" w:ascii="黑体" w:hAnsi="黑体" w:eastAsia="黑体" w:cs="黑体"/>
          <w:sz w:val="24"/>
          <w:highlight w:val="none"/>
        </w:rPr>
        <w:t>2.2.18标志、使用说明、包装、贮存、运输</w:t>
      </w:r>
    </w:p>
    <w:p>
      <w:pPr>
        <w:spacing w:line="360" w:lineRule="auto"/>
        <w:ind w:firstLine="480" w:firstLineChars="200"/>
        <w:rPr>
          <w:rFonts w:hAnsi="宋体"/>
          <w:sz w:val="24"/>
          <w:highlight w:val="none"/>
        </w:rPr>
      </w:pPr>
      <w:r>
        <w:rPr>
          <w:rFonts w:hint="eastAsia" w:hAnsi="宋体"/>
          <w:sz w:val="24"/>
          <w:highlight w:val="none"/>
        </w:rPr>
        <w:t>本部分的内容，是在GB/T 3324-2017内容的基础上，增加了对化学成分、电子部件、有害物质、使用功率及寿命、售后等的要求。</w:t>
      </w:r>
    </w:p>
    <w:p>
      <w:pPr>
        <w:pStyle w:val="3"/>
        <w:rPr>
          <w:rFonts w:ascii="黑体" w:hAnsi="黑体" w:cs="黑体"/>
          <w:b w:val="0"/>
          <w:bCs w:val="0"/>
          <w:sz w:val="28"/>
          <w:szCs w:val="28"/>
          <w:highlight w:val="none"/>
        </w:rPr>
      </w:pPr>
      <w:r>
        <w:rPr>
          <w:rFonts w:hint="eastAsia" w:ascii="黑体" w:hAnsi="黑体" w:cs="黑体"/>
          <w:b w:val="0"/>
          <w:bCs w:val="0"/>
          <w:sz w:val="28"/>
          <w:szCs w:val="28"/>
          <w:highlight w:val="none"/>
        </w:rPr>
        <w:t>3 主要试验（或验证）情况分析</w:t>
      </w:r>
    </w:p>
    <w:p>
      <w:pPr>
        <w:spacing w:beforeLines="50" w:afterLines="50" w:line="360" w:lineRule="exact"/>
        <w:rPr>
          <w:rFonts w:eastAsia="黑体"/>
          <w:sz w:val="24"/>
          <w:highlight w:val="none"/>
        </w:rPr>
      </w:pPr>
      <w:r>
        <w:rPr>
          <w:rFonts w:hint="eastAsia" w:ascii="黑体" w:hAnsi="黑体" w:eastAsia="黑体"/>
          <w:sz w:val="28"/>
          <w:szCs w:val="28"/>
          <w:highlight w:val="none"/>
        </w:rPr>
        <w:t>3.1 总体情况</w:t>
      </w:r>
    </w:p>
    <w:p>
      <w:pPr>
        <w:pStyle w:val="18"/>
        <w:spacing w:line="500" w:lineRule="exact"/>
        <w:ind w:firstLine="480"/>
        <w:rPr>
          <w:rFonts w:hAnsi="宋体"/>
          <w:sz w:val="24"/>
          <w:highlight w:val="none"/>
        </w:rPr>
      </w:pPr>
      <w:r>
        <w:rPr>
          <w:rFonts w:hint="eastAsia" w:hAnsi="宋体"/>
          <w:sz w:val="24"/>
          <w:highlight w:val="none"/>
        </w:rPr>
        <w:t>标准起草小组选取了</w:t>
      </w:r>
      <w:r>
        <w:rPr>
          <w:rFonts w:hint="eastAsia" w:hAnsi="宋体"/>
          <w:sz w:val="24"/>
          <w:highlight w:val="none"/>
          <w:lang w:val="en-US" w:eastAsia="zh-CN"/>
        </w:rPr>
        <w:t>24</w:t>
      </w:r>
      <w:r>
        <w:rPr>
          <w:rFonts w:hint="eastAsia" w:hAnsi="宋体"/>
          <w:sz w:val="24"/>
          <w:highlight w:val="none"/>
        </w:rPr>
        <w:t>件智能家具产品进行了试验验证，样品种类分别有：电子密码柜、电子体验台、智能密集架/柜、智能床、</w:t>
      </w:r>
      <w:r>
        <w:rPr>
          <w:rFonts w:hint="eastAsia" w:hAnsi="宋体"/>
          <w:sz w:val="24"/>
          <w:highlight w:val="none"/>
          <w:lang w:val="en-US" w:eastAsia="zh-CN"/>
        </w:rPr>
        <w:t>智能床垫、</w:t>
      </w:r>
      <w:r>
        <w:rPr>
          <w:rFonts w:hint="eastAsia" w:hAnsi="宋体"/>
          <w:sz w:val="24"/>
          <w:highlight w:val="none"/>
        </w:rPr>
        <w:t>升降桌、智能</w:t>
      </w:r>
      <w:r>
        <w:rPr>
          <w:rFonts w:hint="eastAsia" w:hAnsi="宋体"/>
          <w:sz w:val="24"/>
          <w:highlight w:val="none"/>
          <w:lang w:val="en-US" w:eastAsia="zh-CN"/>
        </w:rPr>
        <w:t>浴室柜</w:t>
      </w:r>
      <w:r>
        <w:rPr>
          <w:rFonts w:hint="eastAsia" w:hAnsi="宋体"/>
          <w:sz w:val="24"/>
          <w:highlight w:val="none"/>
        </w:rPr>
        <w:t>等。试验重点针对智能化功能及关键参数进行检测。</w:t>
      </w:r>
    </w:p>
    <w:p>
      <w:pPr>
        <w:pStyle w:val="18"/>
        <w:spacing w:line="500" w:lineRule="exact"/>
        <w:ind w:firstLine="480"/>
        <w:rPr>
          <w:rFonts w:hAnsi="宋体"/>
          <w:sz w:val="24"/>
          <w:highlight w:val="none"/>
        </w:rPr>
      </w:pPr>
      <w:r>
        <w:rPr>
          <w:rFonts w:hint="eastAsia" w:hAnsi="宋体"/>
          <w:sz w:val="24"/>
          <w:highlight w:val="none"/>
        </w:rPr>
        <w:t>标准编制</w:t>
      </w:r>
      <w:bookmarkStart w:id="0" w:name="_GoBack"/>
      <w:bookmarkEnd w:id="0"/>
      <w:r>
        <w:rPr>
          <w:rFonts w:hint="eastAsia" w:hAnsi="宋体"/>
          <w:sz w:val="24"/>
          <w:highlight w:val="none"/>
        </w:rPr>
        <w:t>承担单位：北京质检院选取了8件电子密码柜、1件电子体验台、2件智能密集架/柜、1件智能床、5件升降桌，并验证了产品的尺寸、机械结构、物理安全（温度）以及有害物质释放等参数。</w:t>
      </w:r>
    </w:p>
    <w:p>
      <w:pPr>
        <w:pStyle w:val="18"/>
        <w:spacing w:line="500" w:lineRule="exact"/>
        <w:ind w:firstLine="480"/>
        <w:rPr>
          <w:rFonts w:hAnsi="宋体"/>
          <w:sz w:val="24"/>
          <w:highlight w:val="none"/>
        </w:rPr>
      </w:pPr>
      <w:r>
        <w:rPr>
          <w:rFonts w:hint="eastAsia" w:hAnsi="宋体"/>
          <w:sz w:val="24"/>
          <w:highlight w:val="none"/>
        </w:rPr>
        <w:t>标准参编单位：</w:t>
      </w:r>
      <w:r>
        <w:rPr>
          <w:rFonts w:hint="eastAsia" w:hAnsi="宋体"/>
          <w:b/>
          <w:bCs/>
          <w:sz w:val="24"/>
          <w:highlight w:val="none"/>
        </w:rPr>
        <w:t>麒盛科技股份有限公司</w:t>
      </w:r>
      <w:r>
        <w:rPr>
          <w:rFonts w:hint="eastAsia" w:hAnsi="宋体"/>
          <w:sz w:val="24"/>
          <w:highlight w:val="none"/>
        </w:rPr>
        <w:t>提供7件智能床样品，并验证了产品的电子安全（含配件）、物理安全（噪音）。</w:t>
      </w:r>
    </w:p>
    <w:p>
      <w:pPr>
        <w:spacing w:beforeLines="50" w:afterLines="50" w:line="360" w:lineRule="exact"/>
        <w:rPr>
          <w:rFonts w:eastAsia="黑体"/>
          <w:sz w:val="24"/>
          <w:highlight w:val="none"/>
        </w:rPr>
      </w:pPr>
      <w:r>
        <w:rPr>
          <w:rFonts w:hint="eastAsia" w:ascii="黑体" w:hAnsi="黑体" w:eastAsia="黑体"/>
          <w:sz w:val="28"/>
          <w:szCs w:val="28"/>
          <w:highlight w:val="none"/>
        </w:rPr>
        <w:t>3.2 尺寸</w:t>
      </w:r>
    </w:p>
    <w:p>
      <w:pPr>
        <w:pStyle w:val="18"/>
        <w:spacing w:line="500" w:lineRule="exact"/>
        <w:ind w:firstLine="480"/>
        <w:rPr>
          <w:rFonts w:hAnsi="宋体"/>
          <w:sz w:val="24"/>
          <w:highlight w:val="none"/>
        </w:rPr>
      </w:pPr>
      <w:r>
        <w:rPr>
          <w:rFonts w:hint="eastAsia" w:hAnsi="宋体"/>
          <w:sz w:val="24"/>
          <w:highlight w:val="none"/>
        </w:rPr>
        <w:t>实验测试了4件智能升降桌尺寸，检测结果全部合格。</w:t>
      </w:r>
    </w:p>
    <w:p>
      <w:pPr>
        <w:pStyle w:val="18"/>
        <w:tabs>
          <w:tab w:val="center" w:pos="4201"/>
          <w:tab w:val="right" w:leader="dot" w:pos="9298"/>
        </w:tabs>
        <w:spacing w:beforeLines="50" w:afterLines="50"/>
        <w:ind w:firstLine="0" w:firstLineChars="0"/>
        <w:jc w:val="center"/>
        <w:rPr>
          <w:rFonts w:eastAsia="黑体"/>
          <w:highlight w:val="none"/>
        </w:rPr>
      </w:pPr>
      <w:r>
        <w:rPr>
          <w:rFonts w:hint="eastAsia" w:ascii="黑体" w:hAnsi="黑体" w:eastAsia="黑体"/>
          <w:highlight w:val="none"/>
        </w:rPr>
        <w:t>表6　升降桌尺寸</w:t>
      </w:r>
    </w:p>
    <w:tbl>
      <w:tblPr>
        <w:tblStyle w:val="11"/>
        <w:tblW w:w="92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7"/>
        <w:gridCol w:w="1425"/>
        <w:gridCol w:w="2820"/>
        <w:gridCol w:w="2355"/>
        <w:gridCol w:w="1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257" w:type="dxa"/>
            <w:tcBorders>
              <w:top w:val="single" w:color="auto" w:sz="12" w:space="0"/>
              <w:left w:val="single" w:color="auto" w:sz="12" w:space="0"/>
            </w:tcBorders>
            <w:vAlign w:val="center"/>
          </w:tcPr>
          <w:p>
            <w:pPr>
              <w:pStyle w:val="18"/>
              <w:adjustRightInd w:val="0"/>
              <w:snapToGrid w:val="0"/>
              <w:ind w:firstLine="0" w:firstLineChars="0"/>
              <w:jc w:val="center"/>
              <w:rPr>
                <w:rFonts w:hAnsi="宋体"/>
                <w:b/>
                <w:bCs/>
                <w:szCs w:val="21"/>
                <w:highlight w:val="none"/>
              </w:rPr>
            </w:pPr>
            <w:r>
              <w:rPr>
                <w:rFonts w:hint="eastAsia" w:hAnsi="宋体"/>
                <w:b/>
                <w:bCs/>
                <w:szCs w:val="21"/>
                <w:highlight w:val="none"/>
              </w:rPr>
              <w:t>序号</w:t>
            </w:r>
          </w:p>
        </w:tc>
        <w:tc>
          <w:tcPr>
            <w:tcW w:w="1425" w:type="dxa"/>
            <w:tcBorders>
              <w:top w:val="single" w:color="auto" w:sz="12" w:space="0"/>
            </w:tcBorders>
            <w:vAlign w:val="center"/>
          </w:tcPr>
          <w:p>
            <w:pPr>
              <w:pStyle w:val="18"/>
              <w:adjustRightInd w:val="0"/>
              <w:snapToGrid w:val="0"/>
              <w:ind w:firstLine="0" w:firstLineChars="0"/>
              <w:jc w:val="center"/>
              <w:rPr>
                <w:rFonts w:hAnsi="宋体"/>
                <w:b/>
                <w:bCs/>
                <w:szCs w:val="21"/>
                <w:highlight w:val="none"/>
              </w:rPr>
            </w:pPr>
            <w:r>
              <w:rPr>
                <w:rFonts w:hint="eastAsia" w:hAnsi="宋体"/>
                <w:b/>
                <w:bCs/>
                <w:szCs w:val="21"/>
                <w:highlight w:val="none"/>
              </w:rPr>
              <w:t>样品名称</w:t>
            </w:r>
          </w:p>
        </w:tc>
        <w:tc>
          <w:tcPr>
            <w:tcW w:w="2820" w:type="dxa"/>
            <w:tcBorders>
              <w:top w:val="single" w:color="auto" w:sz="12" w:space="0"/>
            </w:tcBorders>
            <w:vAlign w:val="center"/>
          </w:tcPr>
          <w:p>
            <w:pPr>
              <w:pStyle w:val="18"/>
              <w:adjustRightInd w:val="0"/>
              <w:snapToGrid w:val="0"/>
              <w:ind w:firstLine="0" w:firstLineChars="0"/>
              <w:jc w:val="center"/>
              <w:rPr>
                <w:rFonts w:hAnsi="宋体"/>
                <w:b/>
                <w:bCs/>
                <w:szCs w:val="21"/>
                <w:highlight w:val="none"/>
              </w:rPr>
            </w:pPr>
            <w:r>
              <w:rPr>
                <w:rFonts w:hAnsi="宋体"/>
                <w:b/>
                <w:bCs/>
                <w:szCs w:val="21"/>
                <w:highlight w:val="none"/>
              </w:rPr>
              <w:t>课桌的尺寸（桌面高）</w:t>
            </w:r>
          </w:p>
        </w:tc>
        <w:tc>
          <w:tcPr>
            <w:tcW w:w="2355" w:type="dxa"/>
            <w:tcBorders>
              <w:top w:val="single" w:color="auto" w:sz="12" w:space="0"/>
            </w:tcBorders>
            <w:vAlign w:val="center"/>
          </w:tcPr>
          <w:p>
            <w:pPr>
              <w:pStyle w:val="18"/>
              <w:adjustRightInd w:val="0"/>
              <w:snapToGrid w:val="0"/>
              <w:ind w:firstLine="0" w:firstLineChars="0"/>
              <w:jc w:val="center"/>
              <w:rPr>
                <w:rFonts w:hAnsi="宋体"/>
                <w:b/>
                <w:bCs/>
                <w:szCs w:val="21"/>
                <w:highlight w:val="none"/>
              </w:rPr>
            </w:pPr>
            <w:r>
              <w:rPr>
                <w:rFonts w:hint="eastAsia" w:hAnsi="宋体"/>
                <w:b/>
                <w:bCs/>
                <w:szCs w:val="21"/>
                <w:highlight w:val="none"/>
              </w:rPr>
              <w:t>课椅的尺寸（座面高）</w:t>
            </w:r>
          </w:p>
        </w:tc>
        <w:tc>
          <w:tcPr>
            <w:tcW w:w="1401" w:type="dxa"/>
            <w:tcBorders>
              <w:top w:val="single" w:color="auto" w:sz="12" w:space="0"/>
              <w:right w:val="single" w:color="auto" w:sz="12" w:space="0"/>
            </w:tcBorders>
            <w:vAlign w:val="center"/>
          </w:tcPr>
          <w:p>
            <w:pPr>
              <w:pStyle w:val="18"/>
              <w:adjustRightInd w:val="0"/>
              <w:snapToGrid w:val="0"/>
              <w:ind w:firstLine="0" w:firstLineChars="0"/>
              <w:jc w:val="center"/>
              <w:rPr>
                <w:rFonts w:hAnsi="宋体"/>
                <w:b/>
                <w:bCs/>
                <w:szCs w:val="21"/>
                <w:highlight w:val="none"/>
              </w:rPr>
            </w:pPr>
            <w:r>
              <w:rPr>
                <w:rFonts w:hint="eastAsia" w:hAnsi="宋体"/>
                <w:b/>
                <w:bCs/>
                <w:szCs w:val="21"/>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257" w:type="dxa"/>
            <w:tcBorders>
              <w:left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样品1</w:t>
            </w:r>
          </w:p>
        </w:tc>
        <w:tc>
          <w:tcPr>
            <w:tcW w:w="1425"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智能升降桌椅</w:t>
            </w:r>
          </w:p>
        </w:tc>
        <w:tc>
          <w:tcPr>
            <w:tcW w:w="2820"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智能摇把调节方式可设置为手动或自动。</w:t>
            </w:r>
          </w:p>
          <w:p>
            <w:pPr>
              <w:pStyle w:val="18"/>
              <w:adjustRightInd w:val="0"/>
              <w:snapToGrid w:val="0"/>
              <w:ind w:firstLine="0" w:firstLineChars="0"/>
              <w:jc w:val="center"/>
              <w:rPr>
                <w:rFonts w:hAnsi="宋体"/>
                <w:szCs w:val="21"/>
                <w:highlight w:val="none"/>
              </w:rPr>
            </w:pPr>
            <w:r>
              <w:rPr>
                <w:rFonts w:hint="eastAsia" w:hAnsi="宋体"/>
                <w:szCs w:val="21"/>
                <w:highlight w:val="none"/>
              </w:rPr>
              <w:t>手动方式下操作符合要求。</w:t>
            </w:r>
          </w:p>
          <w:p>
            <w:pPr>
              <w:pStyle w:val="18"/>
              <w:adjustRightInd w:val="0"/>
              <w:snapToGrid w:val="0"/>
              <w:ind w:firstLine="0" w:firstLineChars="0"/>
              <w:jc w:val="center"/>
              <w:rPr>
                <w:rFonts w:hAnsi="宋体"/>
                <w:szCs w:val="21"/>
                <w:highlight w:val="none"/>
              </w:rPr>
            </w:pPr>
            <w:r>
              <w:rPr>
                <w:rFonts w:hint="eastAsia" w:hAnsi="宋体"/>
                <w:szCs w:val="21"/>
                <w:highlight w:val="none"/>
              </w:rPr>
              <w:t>自动方式下，设置课桌型号5号，对应要求桌面高为640mm，操作后，桌面高为643mm，误差3mm</w:t>
            </w:r>
          </w:p>
        </w:tc>
        <w:tc>
          <w:tcPr>
            <w:tcW w:w="2355" w:type="dxa"/>
            <w:vAlign w:val="center"/>
          </w:tcPr>
          <w:p>
            <w:pPr>
              <w:pStyle w:val="18"/>
              <w:adjustRightInd w:val="0"/>
              <w:snapToGrid w:val="0"/>
              <w:ind w:firstLine="0" w:firstLineChars="0"/>
              <w:jc w:val="center"/>
              <w:rPr>
                <w:rFonts w:hAnsi="宋体"/>
                <w:szCs w:val="21"/>
                <w:highlight w:val="none"/>
              </w:rPr>
            </w:pPr>
            <w:r>
              <w:rPr>
                <w:rFonts w:hAnsi="宋体"/>
                <w:szCs w:val="21"/>
                <w:highlight w:val="none"/>
              </w:rPr>
              <w:t>自动方式下，设置课椅型号5号，对应要求座面高为360mm，操作后，座面高为362mm，误差2mm</w:t>
            </w:r>
          </w:p>
        </w:tc>
        <w:tc>
          <w:tcPr>
            <w:tcW w:w="1401" w:type="dxa"/>
            <w:tcBorders>
              <w:right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257" w:type="dxa"/>
            <w:tcBorders>
              <w:left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样品2</w:t>
            </w:r>
          </w:p>
        </w:tc>
        <w:tc>
          <w:tcPr>
            <w:tcW w:w="1425"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智能升降桌椅</w:t>
            </w:r>
          </w:p>
        </w:tc>
        <w:tc>
          <w:tcPr>
            <w:tcW w:w="2820"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智能摇把调节方式可设置为手动或自动。</w:t>
            </w:r>
          </w:p>
          <w:p>
            <w:pPr>
              <w:pStyle w:val="18"/>
              <w:adjustRightInd w:val="0"/>
              <w:snapToGrid w:val="0"/>
              <w:ind w:firstLine="0" w:firstLineChars="0"/>
              <w:jc w:val="center"/>
              <w:rPr>
                <w:rFonts w:hAnsi="宋体"/>
                <w:szCs w:val="21"/>
                <w:highlight w:val="none"/>
              </w:rPr>
            </w:pPr>
            <w:r>
              <w:rPr>
                <w:rFonts w:hint="eastAsia" w:hAnsi="宋体"/>
                <w:szCs w:val="21"/>
                <w:highlight w:val="none"/>
              </w:rPr>
              <w:t>手动方式下操作符合要求。</w:t>
            </w:r>
          </w:p>
          <w:p>
            <w:pPr>
              <w:pStyle w:val="18"/>
              <w:adjustRightInd w:val="0"/>
              <w:snapToGrid w:val="0"/>
              <w:ind w:firstLine="0" w:firstLineChars="0"/>
              <w:jc w:val="center"/>
              <w:rPr>
                <w:rFonts w:hAnsi="宋体"/>
                <w:szCs w:val="21"/>
                <w:highlight w:val="none"/>
              </w:rPr>
            </w:pPr>
            <w:r>
              <w:rPr>
                <w:rFonts w:hint="eastAsia" w:hAnsi="宋体"/>
                <w:szCs w:val="21"/>
                <w:highlight w:val="none"/>
              </w:rPr>
              <w:t>自动方式下，设置课桌型号5号，对应要求桌面高为640mm，操作后，桌面高为643mm，误差3mm</w:t>
            </w:r>
          </w:p>
        </w:tc>
        <w:tc>
          <w:tcPr>
            <w:tcW w:w="2355"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自动方式下，设置课椅型号5号，对应要求座面高为360mm，操作后，座面高为362mm，误差2mm</w:t>
            </w:r>
          </w:p>
        </w:tc>
        <w:tc>
          <w:tcPr>
            <w:tcW w:w="1401" w:type="dxa"/>
            <w:tcBorders>
              <w:right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257" w:type="dxa"/>
            <w:tcBorders>
              <w:left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样品3</w:t>
            </w:r>
          </w:p>
        </w:tc>
        <w:tc>
          <w:tcPr>
            <w:tcW w:w="1425"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智能升降桌椅</w:t>
            </w:r>
          </w:p>
        </w:tc>
        <w:tc>
          <w:tcPr>
            <w:tcW w:w="2820"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智能摇把调节方式可设置为手动或自动。</w:t>
            </w:r>
          </w:p>
          <w:p>
            <w:pPr>
              <w:pStyle w:val="18"/>
              <w:adjustRightInd w:val="0"/>
              <w:snapToGrid w:val="0"/>
              <w:ind w:firstLine="0" w:firstLineChars="0"/>
              <w:jc w:val="center"/>
              <w:rPr>
                <w:rFonts w:hAnsi="宋体"/>
                <w:szCs w:val="21"/>
                <w:highlight w:val="none"/>
              </w:rPr>
            </w:pPr>
            <w:r>
              <w:rPr>
                <w:rFonts w:hint="eastAsia" w:hAnsi="宋体"/>
                <w:szCs w:val="21"/>
                <w:highlight w:val="none"/>
              </w:rPr>
              <w:t>手动方式下操作符合要求。</w:t>
            </w:r>
          </w:p>
          <w:p>
            <w:pPr>
              <w:pStyle w:val="18"/>
              <w:adjustRightInd w:val="0"/>
              <w:snapToGrid w:val="0"/>
              <w:ind w:firstLine="0" w:firstLineChars="0"/>
              <w:jc w:val="center"/>
              <w:rPr>
                <w:rFonts w:hAnsi="宋体"/>
                <w:szCs w:val="21"/>
                <w:highlight w:val="none"/>
              </w:rPr>
            </w:pPr>
            <w:r>
              <w:rPr>
                <w:rFonts w:hint="eastAsia" w:hAnsi="宋体"/>
                <w:szCs w:val="21"/>
                <w:highlight w:val="none"/>
              </w:rPr>
              <w:t>自动方式下，设置课桌型号5号，对应要求桌面高为640mm，操作后，桌面高为642mm，误差2mm</w:t>
            </w:r>
          </w:p>
        </w:tc>
        <w:tc>
          <w:tcPr>
            <w:tcW w:w="2355"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自动方式下，设置课椅型号5号，对应要求座面高为360mm，操作后，座面高为360mm，误差0mm</w:t>
            </w:r>
          </w:p>
        </w:tc>
        <w:tc>
          <w:tcPr>
            <w:tcW w:w="1401" w:type="dxa"/>
            <w:tcBorders>
              <w:right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257" w:type="dxa"/>
            <w:tcBorders>
              <w:left w:val="single" w:color="auto" w:sz="12" w:space="0"/>
              <w:bottom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样品4</w:t>
            </w:r>
          </w:p>
        </w:tc>
        <w:tc>
          <w:tcPr>
            <w:tcW w:w="1425" w:type="dxa"/>
            <w:tcBorders>
              <w:bottom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智能升降课桌椅</w:t>
            </w:r>
          </w:p>
        </w:tc>
        <w:tc>
          <w:tcPr>
            <w:tcW w:w="2820" w:type="dxa"/>
            <w:tcBorders>
              <w:bottom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智能摇把调节方式可设置为手动或自动。</w:t>
            </w:r>
          </w:p>
          <w:p>
            <w:pPr>
              <w:pStyle w:val="18"/>
              <w:adjustRightInd w:val="0"/>
              <w:snapToGrid w:val="0"/>
              <w:ind w:firstLine="0" w:firstLineChars="0"/>
              <w:jc w:val="center"/>
              <w:rPr>
                <w:rFonts w:hAnsi="宋体"/>
                <w:szCs w:val="21"/>
                <w:highlight w:val="none"/>
              </w:rPr>
            </w:pPr>
            <w:r>
              <w:rPr>
                <w:rFonts w:hint="eastAsia" w:hAnsi="宋体"/>
                <w:szCs w:val="21"/>
                <w:highlight w:val="none"/>
              </w:rPr>
              <w:t>手动方式下操作符合要求。</w:t>
            </w:r>
          </w:p>
          <w:p>
            <w:pPr>
              <w:pStyle w:val="18"/>
              <w:adjustRightInd w:val="0"/>
              <w:snapToGrid w:val="0"/>
              <w:ind w:firstLine="0" w:firstLineChars="0"/>
              <w:jc w:val="center"/>
              <w:rPr>
                <w:rFonts w:hAnsi="宋体"/>
                <w:szCs w:val="21"/>
                <w:highlight w:val="none"/>
              </w:rPr>
            </w:pPr>
            <w:r>
              <w:rPr>
                <w:rFonts w:hint="eastAsia" w:hAnsi="宋体"/>
                <w:szCs w:val="21"/>
                <w:highlight w:val="none"/>
              </w:rPr>
              <w:t>自动方式下，设置课桌型号5号，对应要求桌面高为640mm，操作后，桌面高为642mm，误差2mm</w:t>
            </w:r>
          </w:p>
        </w:tc>
        <w:tc>
          <w:tcPr>
            <w:tcW w:w="2355" w:type="dxa"/>
            <w:tcBorders>
              <w:bottom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自动方式下，设置课椅型号5号，对应要求座面高为360mm，操作后，座面高为361mm，误差1mm</w:t>
            </w:r>
          </w:p>
        </w:tc>
        <w:tc>
          <w:tcPr>
            <w:tcW w:w="1401" w:type="dxa"/>
            <w:tcBorders>
              <w:bottom w:val="single" w:color="auto" w:sz="12" w:space="0"/>
              <w:right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合格</w:t>
            </w:r>
          </w:p>
        </w:tc>
      </w:tr>
    </w:tbl>
    <w:p>
      <w:pPr>
        <w:spacing w:beforeLines="50" w:afterLines="50" w:line="360" w:lineRule="exact"/>
        <w:rPr>
          <w:rFonts w:eastAsia="黑体"/>
          <w:sz w:val="24"/>
          <w:highlight w:val="none"/>
        </w:rPr>
      </w:pPr>
      <w:r>
        <w:rPr>
          <w:rFonts w:hint="eastAsia" w:ascii="黑体" w:hAnsi="黑体" w:eastAsia="黑体"/>
          <w:sz w:val="28"/>
          <w:szCs w:val="28"/>
          <w:highlight w:val="none"/>
        </w:rPr>
        <w:t>3.3 机械与结构</w:t>
      </w:r>
    </w:p>
    <w:p>
      <w:pPr>
        <w:pStyle w:val="18"/>
        <w:spacing w:line="500" w:lineRule="exact"/>
        <w:ind w:firstLine="480"/>
        <w:rPr>
          <w:rFonts w:hAnsi="宋体"/>
          <w:sz w:val="24"/>
          <w:highlight w:val="none"/>
        </w:rPr>
      </w:pPr>
      <w:r>
        <w:rPr>
          <w:rFonts w:hint="eastAsia" w:hAnsi="宋体"/>
          <w:sz w:val="24"/>
          <w:highlight w:val="none"/>
        </w:rPr>
        <w:t>对两件智能升降桌和1件电子体验台的机械结构及功能进行测试，均合格。</w:t>
      </w:r>
    </w:p>
    <w:p>
      <w:pPr>
        <w:pStyle w:val="18"/>
        <w:tabs>
          <w:tab w:val="center" w:pos="4201"/>
          <w:tab w:val="right" w:leader="dot" w:pos="9298"/>
        </w:tabs>
        <w:spacing w:beforeLines="50" w:afterLines="50"/>
        <w:ind w:firstLine="0" w:firstLineChars="0"/>
        <w:jc w:val="center"/>
        <w:rPr>
          <w:rFonts w:eastAsia="黑体"/>
          <w:highlight w:val="none"/>
        </w:rPr>
      </w:pPr>
      <w:r>
        <w:rPr>
          <w:rFonts w:hint="eastAsia" w:ascii="黑体" w:hAnsi="黑体" w:eastAsia="黑体"/>
          <w:highlight w:val="none"/>
        </w:rPr>
        <w:t>表7　结构安全测试</w:t>
      </w:r>
    </w:p>
    <w:tbl>
      <w:tblPr>
        <w:tblStyle w:val="11"/>
        <w:tblW w:w="92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7"/>
        <w:gridCol w:w="1425"/>
        <w:gridCol w:w="1620"/>
        <w:gridCol w:w="3555"/>
        <w:gridCol w:w="1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257" w:type="dxa"/>
            <w:tcBorders>
              <w:top w:val="single" w:color="auto" w:sz="12" w:space="0"/>
              <w:left w:val="single" w:color="auto" w:sz="12" w:space="0"/>
            </w:tcBorders>
            <w:vAlign w:val="center"/>
          </w:tcPr>
          <w:p>
            <w:pPr>
              <w:pStyle w:val="18"/>
              <w:adjustRightInd w:val="0"/>
              <w:snapToGrid w:val="0"/>
              <w:ind w:firstLine="0" w:firstLineChars="0"/>
              <w:jc w:val="center"/>
              <w:rPr>
                <w:rFonts w:hAnsi="宋体"/>
                <w:b/>
                <w:bCs/>
                <w:szCs w:val="21"/>
                <w:highlight w:val="none"/>
              </w:rPr>
            </w:pPr>
            <w:r>
              <w:rPr>
                <w:rFonts w:hint="eastAsia" w:hAnsi="宋体"/>
                <w:b/>
                <w:bCs/>
                <w:szCs w:val="21"/>
                <w:highlight w:val="none"/>
              </w:rPr>
              <w:t>序号</w:t>
            </w:r>
          </w:p>
        </w:tc>
        <w:tc>
          <w:tcPr>
            <w:tcW w:w="1425" w:type="dxa"/>
            <w:tcBorders>
              <w:top w:val="single" w:color="auto" w:sz="12" w:space="0"/>
            </w:tcBorders>
            <w:vAlign w:val="center"/>
          </w:tcPr>
          <w:p>
            <w:pPr>
              <w:pStyle w:val="18"/>
              <w:adjustRightInd w:val="0"/>
              <w:snapToGrid w:val="0"/>
              <w:ind w:firstLine="0" w:firstLineChars="0"/>
              <w:jc w:val="center"/>
              <w:rPr>
                <w:rFonts w:hAnsi="宋体"/>
                <w:b/>
                <w:bCs/>
                <w:szCs w:val="21"/>
                <w:highlight w:val="none"/>
              </w:rPr>
            </w:pPr>
            <w:r>
              <w:rPr>
                <w:rFonts w:hint="eastAsia" w:hAnsi="宋体"/>
                <w:b/>
                <w:bCs/>
                <w:szCs w:val="21"/>
                <w:highlight w:val="none"/>
              </w:rPr>
              <w:t>样品名称</w:t>
            </w:r>
          </w:p>
        </w:tc>
        <w:tc>
          <w:tcPr>
            <w:tcW w:w="1620" w:type="dxa"/>
            <w:tcBorders>
              <w:top w:val="single" w:color="auto" w:sz="12" w:space="0"/>
            </w:tcBorders>
            <w:vAlign w:val="center"/>
          </w:tcPr>
          <w:p>
            <w:pPr>
              <w:pStyle w:val="18"/>
              <w:adjustRightInd w:val="0"/>
              <w:snapToGrid w:val="0"/>
              <w:ind w:firstLine="0" w:firstLineChars="0"/>
              <w:jc w:val="center"/>
              <w:rPr>
                <w:rFonts w:hAnsi="宋体"/>
                <w:b/>
                <w:bCs/>
                <w:szCs w:val="21"/>
                <w:highlight w:val="none"/>
              </w:rPr>
            </w:pPr>
            <w:r>
              <w:rPr>
                <w:rFonts w:hint="eastAsia" w:hAnsi="宋体"/>
                <w:b/>
                <w:bCs/>
                <w:szCs w:val="21"/>
                <w:highlight w:val="none"/>
              </w:rPr>
              <w:t>参数</w:t>
            </w:r>
          </w:p>
        </w:tc>
        <w:tc>
          <w:tcPr>
            <w:tcW w:w="3555" w:type="dxa"/>
            <w:tcBorders>
              <w:top w:val="single" w:color="auto" w:sz="12" w:space="0"/>
            </w:tcBorders>
            <w:vAlign w:val="center"/>
          </w:tcPr>
          <w:p>
            <w:pPr>
              <w:pStyle w:val="18"/>
              <w:adjustRightInd w:val="0"/>
              <w:snapToGrid w:val="0"/>
              <w:ind w:firstLine="0" w:firstLineChars="0"/>
              <w:jc w:val="center"/>
              <w:rPr>
                <w:rFonts w:hAnsi="宋体"/>
                <w:b/>
                <w:bCs/>
                <w:szCs w:val="21"/>
                <w:highlight w:val="none"/>
              </w:rPr>
            </w:pPr>
            <w:r>
              <w:rPr>
                <w:rFonts w:hint="eastAsia" w:hAnsi="宋体"/>
                <w:b/>
                <w:bCs/>
                <w:szCs w:val="21"/>
                <w:highlight w:val="none"/>
              </w:rPr>
              <w:t>测试结果</w:t>
            </w:r>
          </w:p>
        </w:tc>
        <w:tc>
          <w:tcPr>
            <w:tcW w:w="1401" w:type="dxa"/>
            <w:tcBorders>
              <w:top w:val="single" w:color="auto" w:sz="12" w:space="0"/>
              <w:right w:val="single" w:color="auto" w:sz="12" w:space="0"/>
            </w:tcBorders>
            <w:vAlign w:val="center"/>
          </w:tcPr>
          <w:p>
            <w:pPr>
              <w:pStyle w:val="18"/>
              <w:adjustRightInd w:val="0"/>
              <w:snapToGrid w:val="0"/>
              <w:ind w:firstLine="0" w:firstLineChars="0"/>
              <w:jc w:val="center"/>
              <w:rPr>
                <w:rFonts w:hAnsi="宋体"/>
                <w:b/>
                <w:bCs/>
                <w:szCs w:val="21"/>
                <w:highlight w:val="none"/>
              </w:rPr>
            </w:pPr>
            <w:r>
              <w:rPr>
                <w:rFonts w:hint="eastAsia" w:hAnsi="宋体"/>
                <w:b/>
                <w:bCs/>
                <w:szCs w:val="21"/>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257" w:type="dxa"/>
            <w:tcBorders>
              <w:left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样品1</w:t>
            </w:r>
          </w:p>
        </w:tc>
        <w:tc>
          <w:tcPr>
            <w:tcW w:w="1425"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智能升降课桌椅</w:t>
            </w:r>
          </w:p>
        </w:tc>
        <w:tc>
          <w:tcPr>
            <w:tcW w:w="1620"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调节时间</w:t>
            </w:r>
          </w:p>
        </w:tc>
        <w:tc>
          <w:tcPr>
            <w:tcW w:w="3555" w:type="dxa"/>
            <w:vAlign w:val="center"/>
          </w:tcPr>
          <w:p>
            <w:pPr>
              <w:pStyle w:val="18"/>
              <w:adjustRightInd w:val="0"/>
              <w:snapToGrid w:val="0"/>
              <w:ind w:firstLine="0" w:firstLineChars="0"/>
              <w:jc w:val="center"/>
              <w:rPr>
                <w:rFonts w:hAnsi="宋体"/>
                <w:szCs w:val="21"/>
                <w:highlight w:val="none"/>
              </w:rPr>
            </w:pPr>
            <w:r>
              <w:rPr>
                <w:rFonts w:hAnsi="宋体"/>
                <w:szCs w:val="21"/>
                <w:highlight w:val="none"/>
              </w:rPr>
              <w:t>课桌0到5，4秒；</w:t>
            </w:r>
          </w:p>
          <w:p>
            <w:pPr>
              <w:pStyle w:val="18"/>
              <w:adjustRightInd w:val="0"/>
              <w:snapToGrid w:val="0"/>
              <w:ind w:firstLine="0" w:firstLineChars="0"/>
              <w:jc w:val="center"/>
              <w:rPr>
                <w:rFonts w:hAnsi="宋体"/>
                <w:szCs w:val="21"/>
                <w:highlight w:val="none"/>
              </w:rPr>
            </w:pPr>
            <w:r>
              <w:rPr>
                <w:rFonts w:hAnsi="宋体"/>
                <w:szCs w:val="21"/>
                <w:highlight w:val="none"/>
              </w:rPr>
              <w:t>课桌5到0，5秒；</w:t>
            </w:r>
          </w:p>
          <w:p>
            <w:pPr>
              <w:pStyle w:val="18"/>
              <w:adjustRightInd w:val="0"/>
              <w:snapToGrid w:val="0"/>
              <w:ind w:firstLine="0" w:firstLineChars="0"/>
              <w:jc w:val="center"/>
              <w:rPr>
                <w:rFonts w:hAnsi="宋体"/>
                <w:szCs w:val="21"/>
                <w:highlight w:val="none"/>
              </w:rPr>
            </w:pPr>
            <w:r>
              <w:rPr>
                <w:rFonts w:hAnsi="宋体"/>
                <w:szCs w:val="21"/>
                <w:highlight w:val="none"/>
              </w:rPr>
              <w:t>椅子0到5，4秒；</w:t>
            </w:r>
          </w:p>
          <w:p>
            <w:pPr>
              <w:pStyle w:val="18"/>
              <w:adjustRightInd w:val="0"/>
              <w:snapToGrid w:val="0"/>
              <w:ind w:firstLine="0" w:firstLineChars="0"/>
              <w:jc w:val="center"/>
              <w:rPr>
                <w:rFonts w:hAnsi="宋体"/>
                <w:szCs w:val="21"/>
                <w:highlight w:val="none"/>
              </w:rPr>
            </w:pPr>
            <w:r>
              <w:rPr>
                <w:rFonts w:hAnsi="宋体"/>
                <w:szCs w:val="21"/>
                <w:highlight w:val="none"/>
              </w:rPr>
              <w:t>椅子5到0，4秒。</w:t>
            </w:r>
          </w:p>
        </w:tc>
        <w:tc>
          <w:tcPr>
            <w:tcW w:w="1401" w:type="dxa"/>
            <w:tcBorders>
              <w:right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257" w:type="dxa"/>
            <w:tcBorders>
              <w:left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样品2</w:t>
            </w:r>
          </w:p>
        </w:tc>
        <w:tc>
          <w:tcPr>
            <w:tcW w:w="1425"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智能升降课桌椅</w:t>
            </w:r>
          </w:p>
        </w:tc>
        <w:tc>
          <w:tcPr>
            <w:tcW w:w="1620"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功能</w:t>
            </w:r>
          </w:p>
        </w:tc>
        <w:tc>
          <w:tcPr>
            <w:tcW w:w="3555"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调节方式可设置为自动或手动；</w:t>
            </w:r>
          </w:p>
          <w:p>
            <w:pPr>
              <w:pStyle w:val="18"/>
              <w:adjustRightInd w:val="0"/>
              <w:snapToGrid w:val="0"/>
              <w:ind w:firstLine="0" w:firstLineChars="0"/>
              <w:jc w:val="center"/>
              <w:rPr>
                <w:rFonts w:hAnsi="宋体"/>
                <w:szCs w:val="21"/>
                <w:highlight w:val="none"/>
              </w:rPr>
            </w:pPr>
            <w:r>
              <w:rPr>
                <w:rFonts w:hint="eastAsia" w:hAnsi="宋体"/>
                <w:szCs w:val="21"/>
                <w:highlight w:val="none"/>
              </w:rPr>
              <w:t>液晶显示；</w:t>
            </w:r>
          </w:p>
          <w:p>
            <w:pPr>
              <w:pStyle w:val="18"/>
              <w:adjustRightInd w:val="0"/>
              <w:snapToGrid w:val="0"/>
              <w:ind w:firstLine="0" w:firstLineChars="0"/>
              <w:jc w:val="center"/>
              <w:rPr>
                <w:rFonts w:hAnsi="宋体"/>
                <w:szCs w:val="21"/>
                <w:highlight w:val="none"/>
              </w:rPr>
            </w:pPr>
            <w:r>
              <w:rPr>
                <w:rFonts w:hint="eastAsia" w:hAnsi="宋体"/>
                <w:szCs w:val="21"/>
                <w:highlight w:val="none"/>
              </w:rPr>
              <w:t>可自动测高调高；</w:t>
            </w:r>
          </w:p>
          <w:p>
            <w:pPr>
              <w:pStyle w:val="18"/>
              <w:adjustRightInd w:val="0"/>
              <w:snapToGrid w:val="0"/>
              <w:ind w:firstLine="0" w:firstLineChars="0"/>
              <w:jc w:val="center"/>
              <w:rPr>
                <w:rFonts w:hAnsi="宋体"/>
                <w:szCs w:val="21"/>
                <w:highlight w:val="none"/>
              </w:rPr>
            </w:pPr>
            <w:r>
              <w:rPr>
                <w:rFonts w:hint="eastAsia" w:hAnsi="宋体"/>
                <w:szCs w:val="21"/>
                <w:highlight w:val="none"/>
              </w:rPr>
              <w:t>选择自动调节，设置课桌型号5号，对应要求桌面高为640mm，操作后，桌面高为642mm，误差2mm；</w:t>
            </w:r>
          </w:p>
          <w:p>
            <w:pPr>
              <w:pStyle w:val="18"/>
              <w:adjustRightInd w:val="0"/>
              <w:snapToGrid w:val="0"/>
              <w:ind w:firstLine="0" w:firstLineChars="0"/>
              <w:jc w:val="center"/>
              <w:rPr>
                <w:rFonts w:hAnsi="宋体"/>
                <w:szCs w:val="21"/>
                <w:highlight w:val="none"/>
              </w:rPr>
            </w:pPr>
            <w:r>
              <w:rPr>
                <w:rFonts w:hint="eastAsia" w:hAnsi="宋体"/>
                <w:szCs w:val="21"/>
                <w:highlight w:val="none"/>
              </w:rPr>
              <w:t>选择自动调节，设置课椅型号5号，对应要求座面高为360mm，操作后，座面高为363mm，误差3mm。</w:t>
            </w:r>
          </w:p>
        </w:tc>
        <w:tc>
          <w:tcPr>
            <w:tcW w:w="1401" w:type="dxa"/>
            <w:tcBorders>
              <w:right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257" w:type="dxa"/>
            <w:tcBorders>
              <w:left w:val="single" w:color="auto" w:sz="12" w:space="0"/>
              <w:bottom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样品3</w:t>
            </w:r>
          </w:p>
        </w:tc>
        <w:tc>
          <w:tcPr>
            <w:tcW w:w="1425" w:type="dxa"/>
            <w:tcBorders>
              <w:bottom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电子体验台</w:t>
            </w:r>
          </w:p>
        </w:tc>
        <w:tc>
          <w:tcPr>
            <w:tcW w:w="1620" w:type="dxa"/>
            <w:tcBorders>
              <w:bottom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结构安全性</w:t>
            </w:r>
          </w:p>
        </w:tc>
        <w:tc>
          <w:tcPr>
            <w:tcW w:w="3555" w:type="dxa"/>
            <w:tcBorders>
              <w:bottom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键盘托有防脱落装置</w:t>
            </w:r>
          </w:p>
        </w:tc>
        <w:tc>
          <w:tcPr>
            <w:tcW w:w="1401" w:type="dxa"/>
            <w:tcBorders>
              <w:bottom w:val="single" w:color="auto" w:sz="12" w:space="0"/>
              <w:right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合格</w:t>
            </w:r>
          </w:p>
        </w:tc>
      </w:tr>
    </w:tbl>
    <w:p>
      <w:pPr>
        <w:spacing w:beforeLines="50" w:afterLines="50" w:line="360" w:lineRule="exact"/>
        <w:rPr>
          <w:rFonts w:eastAsia="黑体"/>
          <w:sz w:val="24"/>
          <w:highlight w:val="none"/>
        </w:rPr>
      </w:pPr>
      <w:r>
        <w:rPr>
          <w:rFonts w:hint="eastAsia" w:ascii="黑体" w:hAnsi="黑体" w:eastAsia="黑体"/>
          <w:sz w:val="28"/>
          <w:szCs w:val="28"/>
          <w:highlight w:val="none"/>
        </w:rPr>
        <w:t>3.4 电子安全</w:t>
      </w:r>
    </w:p>
    <w:p>
      <w:pPr>
        <w:pStyle w:val="18"/>
        <w:spacing w:line="500" w:lineRule="exact"/>
        <w:ind w:firstLine="480"/>
        <w:rPr>
          <w:rFonts w:hAnsi="宋体"/>
          <w:sz w:val="24"/>
          <w:highlight w:val="none"/>
        </w:rPr>
      </w:pPr>
      <w:r>
        <w:rPr>
          <w:rFonts w:hint="eastAsia" w:hAnsi="宋体"/>
          <w:sz w:val="24"/>
          <w:highlight w:val="none"/>
        </w:rPr>
        <w:t>对7件智能床样品进行了电器安全以及电子配件功能的试验，实验结果：7件实验样品电器安全、7件电子配件功能均合格。</w:t>
      </w:r>
    </w:p>
    <w:p>
      <w:pPr>
        <w:pStyle w:val="18"/>
        <w:ind w:firstLine="0" w:firstLineChars="0"/>
        <w:rPr>
          <w:highlight w:val="none"/>
        </w:rPr>
      </w:pPr>
      <w:r>
        <w:rPr>
          <w:highlight w:val="none"/>
        </w:rPr>
        <w:drawing>
          <wp:inline distT="0" distB="0" distL="114300" distR="114300">
            <wp:extent cx="2197735" cy="1772920"/>
            <wp:effectExtent l="0" t="0" r="12065" b="177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4" cstate="print"/>
                    <a:stretch>
                      <a:fillRect/>
                    </a:stretch>
                  </pic:blipFill>
                  <pic:spPr>
                    <a:xfrm>
                      <a:off x="0" y="0"/>
                      <a:ext cx="2197735" cy="1772920"/>
                    </a:xfrm>
                    <a:prstGeom prst="rect">
                      <a:avLst/>
                    </a:prstGeom>
                    <a:noFill/>
                    <a:ln>
                      <a:noFill/>
                    </a:ln>
                  </pic:spPr>
                </pic:pic>
              </a:graphicData>
            </a:graphic>
          </wp:inline>
        </w:drawing>
      </w:r>
      <w:r>
        <w:rPr>
          <w:rFonts w:hint="eastAsia"/>
          <w:highlight w:val="none"/>
        </w:rPr>
        <w:t xml:space="preserve">  </w:t>
      </w:r>
      <w:r>
        <w:rPr>
          <w:highlight w:val="none"/>
        </w:rPr>
        <w:drawing>
          <wp:inline distT="0" distB="0" distL="114300" distR="114300">
            <wp:extent cx="2536825" cy="1753870"/>
            <wp:effectExtent l="0" t="0" r="15875" b="1778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5" cstate="print"/>
                    <a:stretch>
                      <a:fillRect/>
                    </a:stretch>
                  </pic:blipFill>
                  <pic:spPr>
                    <a:xfrm>
                      <a:off x="0" y="0"/>
                      <a:ext cx="2536825" cy="1753870"/>
                    </a:xfrm>
                    <a:prstGeom prst="rect">
                      <a:avLst/>
                    </a:prstGeom>
                    <a:noFill/>
                    <a:ln>
                      <a:noFill/>
                    </a:ln>
                  </pic:spPr>
                </pic:pic>
              </a:graphicData>
            </a:graphic>
          </wp:inline>
        </w:drawing>
      </w:r>
    </w:p>
    <w:p>
      <w:pPr>
        <w:pStyle w:val="18"/>
        <w:ind w:firstLine="0" w:firstLineChars="0"/>
        <w:jc w:val="center"/>
        <w:rPr>
          <w:highlight w:val="none"/>
        </w:rPr>
      </w:pPr>
      <w:r>
        <w:rPr>
          <w:highlight w:val="none"/>
        </w:rPr>
        <w:drawing>
          <wp:inline distT="0" distB="0" distL="114300" distR="114300">
            <wp:extent cx="3465830" cy="1465580"/>
            <wp:effectExtent l="0" t="0" r="1270" b="12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6" cstate="print"/>
                    <a:stretch>
                      <a:fillRect/>
                    </a:stretch>
                  </pic:blipFill>
                  <pic:spPr>
                    <a:xfrm>
                      <a:off x="0" y="0"/>
                      <a:ext cx="3465830" cy="1465580"/>
                    </a:xfrm>
                    <a:prstGeom prst="rect">
                      <a:avLst/>
                    </a:prstGeom>
                    <a:noFill/>
                    <a:ln>
                      <a:noFill/>
                    </a:ln>
                  </pic:spPr>
                </pic:pic>
              </a:graphicData>
            </a:graphic>
          </wp:inline>
        </w:drawing>
      </w:r>
    </w:p>
    <w:p>
      <w:pPr>
        <w:pStyle w:val="18"/>
        <w:ind w:firstLine="0" w:firstLineChars="0"/>
        <w:jc w:val="center"/>
        <w:rPr>
          <w:highlight w:val="none"/>
        </w:rPr>
      </w:pPr>
      <w:r>
        <w:rPr>
          <w:highlight w:val="none"/>
        </w:rPr>
        <w:drawing>
          <wp:inline distT="0" distB="0" distL="114300" distR="114300">
            <wp:extent cx="2534285" cy="1741805"/>
            <wp:effectExtent l="0" t="0" r="18415" b="1079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7" cstate="print"/>
                    <a:stretch>
                      <a:fillRect/>
                    </a:stretch>
                  </pic:blipFill>
                  <pic:spPr>
                    <a:xfrm>
                      <a:off x="0" y="0"/>
                      <a:ext cx="2534285" cy="1741805"/>
                    </a:xfrm>
                    <a:prstGeom prst="rect">
                      <a:avLst/>
                    </a:prstGeom>
                    <a:noFill/>
                    <a:ln>
                      <a:noFill/>
                    </a:ln>
                  </pic:spPr>
                </pic:pic>
              </a:graphicData>
            </a:graphic>
          </wp:inline>
        </w:drawing>
      </w:r>
      <w:r>
        <w:rPr>
          <w:rFonts w:hint="eastAsia"/>
          <w:highlight w:val="none"/>
        </w:rPr>
        <w:t xml:space="preserve">  </w:t>
      </w:r>
      <w:r>
        <w:rPr>
          <w:highlight w:val="none"/>
        </w:rPr>
        <w:drawing>
          <wp:inline distT="0" distB="0" distL="114300" distR="114300">
            <wp:extent cx="2312670" cy="1694180"/>
            <wp:effectExtent l="0" t="0" r="11430" b="127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8" cstate="print"/>
                    <a:stretch>
                      <a:fillRect/>
                    </a:stretch>
                  </pic:blipFill>
                  <pic:spPr>
                    <a:xfrm>
                      <a:off x="0" y="0"/>
                      <a:ext cx="2312670" cy="1694180"/>
                    </a:xfrm>
                    <a:prstGeom prst="rect">
                      <a:avLst/>
                    </a:prstGeom>
                    <a:noFill/>
                    <a:ln>
                      <a:noFill/>
                    </a:ln>
                  </pic:spPr>
                </pic:pic>
              </a:graphicData>
            </a:graphic>
          </wp:inline>
        </w:drawing>
      </w:r>
    </w:p>
    <w:p>
      <w:pPr>
        <w:pStyle w:val="18"/>
        <w:ind w:firstLine="0" w:firstLineChars="0"/>
        <w:jc w:val="center"/>
        <w:rPr>
          <w:highlight w:val="none"/>
        </w:rPr>
      </w:pPr>
      <w:r>
        <w:rPr>
          <w:highlight w:val="none"/>
        </w:rPr>
        <w:drawing>
          <wp:inline distT="0" distB="0" distL="114300" distR="114300">
            <wp:extent cx="4237990" cy="1988820"/>
            <wp:effectExtent l="0" t="0" r="10160" b="1143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9" cstate="print"/>
                    <a:stretch>
                      <a:fillRect/>
                    </a:stretch>
                  </pic:blipFill>
                  <pic:spPr>
                    <a:xfrm>
                      <a:off x="0" y="0"/>
                      <a:ext cx="4237990" cy="1988820"/>
                    </a:xfrm>
                    <a:prstGeom prst="rect">
                      <a:avLst/>
                    </a:prstGeom>
                    <a:noFill/>
                    <a:ln>
                      <a:noFill/>
                    </a:ln>
                  </pic:spPr>
                </pic:pic>
              </a:graphicData>
            </a:graphic>
          </wp:inline>
        </w:drawing>
      </w:r>
    </w:p>
    <w:p>
      <w:pPr>
        <w:pStyle w:val="18"/>
        <w:ind w:firstLine="0" w:firstLineChars="0"/>
        <w:jc w:val="center"/>
        <w:rPr>
          <w:highlight w:val="none"/>
        </w:rPr>
      </w:pPr>
      <w:r>
        <w:rPr>
          <w:highlight w:val="none"/>
        </w:rPr>
        <w:drawing>
          <wp:inline distT="0" distB="0" distL="114300" distR="114300">
            <wp:extent cx="2762885" cy="2112645"/>
            <wp:effectExtent l="0" t="0" r="18415" b="190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30" cstate="print"/>
                    <a:stretch>
                      <a:fillRect/>
                    </a:stretch>
                  </pic:blipFill>
                  <pic:spPr>
                    <a:xfrm>
                      <a:off x="0" y="0"/>
                      <a:ext cx="2762885" cy="2112645"/>
                    </a:xfrm>
                    <a:prstGeom prst="rect">
                      <a:avLst/>
                    </a:prstGeom>
                    <a:noFill/>
                    <a:ln>
                      <a:noFill/>
                    </a:ln>
                  </pic:spPr>
                </pic:pic>
              </a:graphicData>
            </a:graphic>
          </wp:inline>
        </w:drawing>
      </w:r>
    </w:p>
    <w:p>
      <w:pPr>
        <w:pStyle w:val="18"/>
        <w:tabs>
          <w:tab w:val="center" w:pos="4201"/>
          <w:tab w:val="right" w:leader="dot" w:pos="9298"/>
        </w:tabs>
        <w:spacing w:beforeLines="50" w:afterLines="50"/>
        <w:ind w:firstLine="0" w:firstLineChars="0"/>
        <w:jc w:val="center"/>
        <w:rPr>
          <w:rFonts w:eastAsia="黑体"/>
          <w:highlight w:val="none"/>
        </w:rPr>
      </w:pPr>
      <w:r>
        <w:rPr>
          <w:rFonts w:hint="eastAsia" w:ascii="黑体" w:hAnsi="黑体" w:eastAsia="黑体"/>
          <w:highlight w:val="none"/>
        </w:rPr>
        <w:t>图1　智能床样品照片</w:t>
      </w:r>
    </w:p>
    <w:p>
      <w:pPr>
        <w:pStyle w:val="18"/>
        <w:ind w:firstLine="480"/>
        <w:rPr>
          <w:rFonts w:hAnsi="宋体"/>
          <w:sz w:val="24"/>
          <w:highlight w:val="none"/>
        </w:rPr>
      </w:pPr>
    </w:p>
    <w:p>
      <w:pPr>
        <w:pStyle w:val="18"/>
        <w:tabs>
          <w:tab w:val="center" w:pos="4201"/>
          <w:tab w:val="right" w:leader="dot" w:pos="9298"/>
        </w:tabs>
        <w:spacing w:beforeLines="50" w:afterLines="50"/>
        <w:ind w:firstLine="0" w:firstLineChars="0"/>
        <w:jc w:val="center"/>
        <w:rPr>
          <w:rFonts w:eastAsia="黑体"/>
          <w:highlight w:val="none"/>
        </w:rPr>
      </w:pPr>
      <w:r>
        <w:rPr>
          <w:rFonts w:hint="eastAsia" w:ascii="黑体" w:hAnsi="黑体" w:eastAsia="黑体"/>
          <w:highlight w:val="none"/>
        </w:rPr>
        <w:t>表6　电子安全测试数据</w:t>
      </w:r>
    </w:p>
    <w:tbl>
      <w:tblPr>
        <w:tblStyle w:val="11"/>
        <w:tblW w:w="92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7"/>
        <w:gridCol w:w="1725"/>
        <w:gridCol w:w="2520"/>
        <w:gridCol w:w="2355"/>
        <w:gridCol w:w="1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257" w:type="dxa"/>
            <w:tcBorders>
              <w:top w:val="single" w:color="auto" w:sz="12" w:space="0"/>
              <w:left w:val="single" w:color="auto" w:sz="12" w:space="0"/>
            </w:tcBorders>
            <w:vAlign w:val="center"/>
          </w:tcPr>
          <w:p>
            <w:pPr>
              <w:pStyle w:val="18"/>
              <w:spacing w:line="500" w:lineRule="exact"/>
              <w:ind w:firstLine="0" w:firstLineChars="0"/>
              <w:jc w:val="center"/>
              <w:rPr>
                <w:rFonts w:hAnsi="宋体"/>
                <w:b/>
                <w:bCs/>
                <w:szCs w:val="21"/>
                <w:highlight w:val="none"/>
              </w:rPr>
            </w:pPr>
            <w:r>
              <w:rPr>
                <w:rFonts w:hint="eastAsia" w:hAnsi="宋体"/>
                <w:b/>
                <w:bCs/>
                <w:szCs w:val="21"/>
                <w:highlight w:val="none"/>
              </w:rPr>
              <w:t>序号</w:t>
            </w:r>
          </w:p>
        </w:tc>
        <w:tc>
          <w:tcPr>
            <w:tcW w:w="1725" w:type="dxa"/>
            <w:tcBorders>
              <w:top w:val="single" w:color="auto" w:sz="12" w:space="0"/>
            </w:tcBorders>
            <w:vAlign w:val="center"/>
          </w:tcPr>
          <w:p>
            <w:pPr>
              <w:pStyle w:val="18"/>
              <w:spacing w:line="500" w:lineRule="exact"/>
              <w:ind w:firstLine="0" w:firstLineChars="0"/>
              <w:jc w:val="center"/>
              <w:rPr>
                <w:rFonts w:hAnsi="宋体"/>
                <w:b/>
                <w:bCs/>
                <w:szCs w:val="21"/>
                <w:highlight w:val="none"/>
              </w:rPr>
            </w:pPr>
            <w:r>
              <w:rPr>
                <w:rFonts w:hint="eastAsia" w:hAnsi="宋体"/>
                <w:b/>
                <w:bCs/>
                <w:szCs w:val="21"/>
                <w:highlight w:val="none"/>
              </w:rPr>
              <w:t>样品名称</w:t>
            </w:r>
          </w:p>
        </w:tc>
        <w:tc>
          <w:tcPr>
            <w:tcW w:w="2520" w:type="dxa"/>
            <w:tcBorders>
              <w:top w:val="single" w:color="auto" w:sz="12" w:space="0"/>
            </w:tcBorders>
            <w:vAlign w:val="center"/>
          </w:tcPr>
          <w:p>
            <w:pPr>
              <w:pStyle w:val="18"/>
              <w:spacing w:line="500" w:lineRule="exact"/>
              <w:ind w:firstLine="0" w:firstLineChars="0"/>
              <w:jc w:val="center"/>
              <w:rPr>
                <w:rFonts w:hAnsi="宋体"/>
                <w:b/>
                <w:bCs/>
                <w:szCs w:val="21"/>
                <w:highlight w:val="none"/>
              </w:rPr>
            </w:pPr>
            <w:r>
              <w:rPr>
                <w:rFonts w:hint="eastAsia" w:hAnsi="宋体"/>
                <w:b/>
                <w:bCs/>
                <w:szCs w:val="21"/>
                <w:highlight w:val="none"/>
              </w:rPr>
              <w:t>耐高压测试</w:t>
            </w:r>
          </w:p>
        </w:tc>
        <w:tc>
          <w:tcPr>
            <w:tcW w:w="2355" w:type="dxa"/>
            <w:tcBorders>
              <w:top w:val="single" w:color="auto" w:sz="12" w:space="0"/>
            </w:tcBorders>
            <w:vAlign w:val="center"/>
          </w:tcPr>
          <w:p>
            <w:pPr>
              <w:pStyle w:val="18"/>
              <w:spacing w:line="500" w:lineRule="exact"/>
              <w:ind w:firstLine="0" w:firstLineChars="0"/>
              <w:jc w:val="center"/>
              <w:rPr>
                <w:rFonts w:hAnsi="宋体"/>
                <w:b/>
                <w:bCs/>
                <w:szCs w:val="21"/>
                <w:highlight w:val="none"/>
              </w:rPr>
            </w:pPr>
            <w:r>
              <w:rPr>
                <w:rFonts w:hint="eastAsia" w:hAnsi="宋体"/>
                <w:b/>
                <w:bCs/>
                <w:szCs w:val="21"/>
                <w:highlight w:val="none"/>
                <w:lang w:eastAsia="zh-CN"/>
              </w:rPr>
              <w:t>泄漏电流</w:t>
            </w:r>
            <w:r>
              <w:rPr>
                <w:rFonts w:hint="eastAsia" w:hAnsi="宋体"/>
                <w:b/>
                <w:bCs/>
                <w:szCs w:val="21"/>
                <w:highlight w:val="none"/>
              </w:rPr>
              <w:t>测试</w:t>
            </w:r>
          </w:p>
        </w:tc>
        <w:tc>
          <w:tcPr>
            <w:tcW w:w="1401" w:type="dxa"/>
            <w:tcBorders>
              <w:top w:val="single" w:color="auto" w:sz="12" w:space="0"/>
              <w:right w:val="single" w:color="auto" w:sz="12" w:space="0"/>
            </w:tcBorders>
            <w:vAlign w:val="center"/>
          </w:tcPr>
          <w:p>
            <w:pPr>
              <w:pStyle w:val="18"/>
              <w:spacing w:line="500" w:lineRule="exact"/>
              <w:ind w:firstLine="0" w:firstLineChars="0"/>
              <w:jc w:val="center"/>
              <w:rPr>
                <w:rFonts w:hAnsi="宋体"/>
                <w:b/>
                <w:bCs/>
                <w:szCs w:val="21"/>
                <w:highlight w:val="none"/>
              </w:rPr>
            </w:pPr>
            <w:r>
              <w:rPr>
                <w:rFonts w:hint="eastAsia" w:hAnsi="宋体"/>
                <w:b/>
                <w:bCs/>
                <w:szCs w:val="21"/>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257" w:type="dxa"/>
            <w:tcBorders>
              <w:lef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样品1</w:t>
            </w:r>
          </w:p>
        </w:tc>
        <w:tc>
          <w:tcPr>
            <w:tcW w:w="1725"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可调节床</w:t>
            </w:r>
          </w:p>
        </w:tc>
        <w:tc>
          <w:tcPr>
            <w:tcW w:w="2520"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1.18mA</w:t>
            </w:r>
          </w:p>
        </w:tc>
        <w:tc>
          <w:tcPr>
            <w:tcW w:w="2355"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0.1mA</w:t>
            </w:r>
          </w:p>
        </w:tc>
        <w:tc>
          <w:tcPr>
            <w:tcW w:w="1401" w:type="dxa"/>
            <w:tcBorders>
              <w:righ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257" w:type="dxa"/>
            <w:tcBorders>
              <w:lef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样品2</w:t>
            </w:r>
          </w:p>
        </w:tc>
        <w:tc>
          <w:tcPr>
            <w:tcW w:w="1725"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可调节床</w:t>
            </w:r>
          </w:p>
        </w:tc>
        <w:tc>
          <w:tcPr>
            <w:tcW w:w="2520"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1.18mA</w:t>
            </w:r>
          </w:p>
        </w:tc>
        <w:tc>
          <w:tcPr>
            <w:tcW w:w="2355"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0.1mA</w:t>
            </w:r>
          </w:p>
        </w:tc>
        <w:tc>
          <w:tcPr>
            <w:tcW w:w="1401" w:type="dxa"/>
            <w:tcBorders>
              <w:righ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257" w:type="dxa"/>
            <w:tcBorders>
              <w:lef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样品3</w:t>
            </w:r>
          </w:p>
        </w:tc>
        <w:tc>
          <w:tcPr>
            <w:tcW w:w="1725"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可调节床</w:t>
            </w:r>
          </w:p>
        </w:tc>
        <w:tc>
          <w:tcPr>
            <w:tcW w:w="2520"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1.18mA</w:t>
            </w:r>
          </w:p>
        </w:tc>
        <w:tc>
          <w:tcPr>
            <w:tcW w:w="2355"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0.1mA</w:t>
            </w:r>
          </w:p>
        </w:tc>
        <w:tc>
          <w:tcPr>
            <w:tcW w:w="1401" w:type="dxa"/>
            <w:tcBorders>
              <w:righ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257" w:type="dxa"/>
            <w:tcBorders>
              <w:lef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样品4</w:t>
            </w:r>
          </w:p>
        </w:tc>
        <w:tc>
          <w:tcPr>
            <w:tcW w:w="1725"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可调节床</w:t>
            </w:r>
          </w:p>
        </w:tc>
        <w:tc>
          <w:tcPr>
            <w:tcW w:w="2520"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1.18mA</w:t>
            </w:r>
          </w:p>
        </w:tc>
        <w:tc>
          <w:tcPr>
            <w:tcW w:w="2355"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0.1mA</w:t>
            </w:r>
          </w:p>
        </w:tc>
        <w:tc>
          <w:tcPr>
            <w:tcW w:w="1401" w:type="dxa"/>
            <w:tcBorders>
              <w:righ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257" w:type="dxa"/>
            <w:tcBorders>
              <w:lef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样品5</w:t>
            </w:r>
          </w:p>
        </w:tc>
        <w:tc>
          <w:tcPr>
            <w:tcW w:w="1725"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可调节床</w:t>
            </w:r>
          </w:p>
        </w:tc>
        <w:tc>
          <w:tcPr>
            <w:tcW w:w="2520"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1.18mA</w:t>
            </w:r>
          </w:p>
        </w:tc>
        <w:tc>
          <w:tcPr>
            <w:tcW w:w="2355"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0.1mA</w:t>
            </w:r>
          </w:p>
        </w:tc>
        <w:tc>
          <w:tcPr>
            <w:tcW w:w="1401" w:type="dxa"/>
            <w:tcBorders>
              <w:righ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257" w:type="dxa"/>
            <w:tcBorders>
              <w:lef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样品6</w:t>
            </w:r>
          </w:p>
        </w:tc>
        <w:tc>
          <w:tcPr>
            <w:tcW w:w="1725"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可调节床</w:t>
            </w:r>
          </w:p>
        </w:tc>
        <w:tc>
          <w:tcPr>
            <w:tcW w:w="2520"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1.18mA</w:t>
            </w:r>
          </w:p>
        </w:tc>
        <w:tc>
          <w:tcPr>
            <w:tcW w:w="2355"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0.1mA</w:t>
            </w:r>
          </w:p>
        </w:tc>
        <w:tc>
          <w:tcPr>
            <w:tcW w:w="1401" w:type="dxa"/>
            <w:tcBorders>
              <w:righ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257" w:type="dxa"/>
            <w:tcBorders>
              <w:left w:val="single" w:color="auto" w:sz="12" w:space="0"/>
              <w:bottom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样品7</w:t>
            </w:r>
          </w:p>
        </w:tc>
        <w:tc>
          <w:tcPr>
            <w:tcW w:w="1725" w:type="dxa"/>
            <w:tcBorders>
              <w:bottom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可调节床</w:t>
            </w:r>
          </w:p>
        </w:tc>
        <w:tc>
          <w:tcPr>
            <w:tcW w:w="2520" w:type="dxa"/>
            <w:tcBorders>
              <w:bottom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1.18mA</w:t>
            </w:r>
          </w:p>
        </w:tc>
        <w:tc>
          <w:tcPr>
            <w:tcW w:w="2355" w:type="dxa"/>
            <w:tcBorders>
              <w:bottom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0.1mA</w:t>
            </w:r>
          </w:p>
        </w:tc>
        <w:tc>
          <w:tcPr>
            <w:tcW w:w="1401" w:type="dxa"/>
            <w:tcBorders>
              <w:bottom w:val="single" w:color="auto" w:sz="12" w:space="0"/>
              <w:righ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合格</w:t>
            </w:r>
          </w:p>
        </w:tc>
      </w:tr>
    </w:tbl>
    <w:p>
      <w:pPr>
        <w:pStyle w:val="18"/>
        <w:ind w:firstLine="480"/>
        <w:rPr>
          <w:rFonts w:hAnsi="宋体"/>
          <w:sz w:val="24"/>
          <w:highlight w:val="none"/>
        </w:rPr>
      </w:pPr>
    </w:p>
    <w:p>
      <w:pPr>
        <w:pStyle w:val="18"/>
        <w:ind w:firstLine="420"/>
        <w:rPr>
          <w:highlight w:val="none"/>
        </w:rPr>
      </w:pPr>
      <w:r>
        <w:rPr>
          <w:highlight w:val="none"/>
        </w:rPr>
        <w:drawing>
          <wp:inline distT="0" distB="0" distL="114300" distR="114300">
            <wp:extent cx="700405" cy="1811020"/>
            <wp:effectExtent l="0" t="0" r="4445" b="1778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31" cstate="print"/>
                    <a:stretch>
                      <a:fillRect/>
                    </a:stretch>
                  </pic:blipFill>
                  <pic:spPr>
                    <a:xfrm>
                      <a:off x="0" y="0"/>
                      <a:ext cx="700405" cy="1811020"/>
                    </a:xfrm>
                    <a:prstGeom prst="rect">
                      <a:avLst/>
                    </a:prstGeom>
                    <a:noFill/>
                    <a:ln>
                      <a:noFill/>
                    </a:ln>
                  </pic:spPr>
                </pic:pic>
              </a:graphicData>
            </a:graphic>
          </wp:inline>
        </w:drawing>
      </w:r>
      <w:r>
        <w:rPr>
          <w:rFonts w:hint="eastAsia"/>
          <w:highlight w:val="none"/>
        </w:rPr>
        <w:t xml:space="preserve">           </w:t>
      </w:r>
      <w:r>
        <w:rPr>
          <w:highlight w:val="none"/>
        </w:rPr>
        <w:drawing>
          <wp:inline distT="0" distB="0" distL="114300" distR="114300">
            <wp:extent cx="1217930" cy="1791335"/>
            <wp:effectExtent l="0" t="0" r="1270" b="184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32" cstate="print"/>
                    <a:stretch>
                      <a:fillRect/>
                    </a:stretch>
                  </pic:blipFill>
                  <pic:spPr>
                    <a:xfrm>
                      <a:off x="0" y="0"/>
                      <a:ext cx="1217930" cy="1791335"/>
                    </a:xfrm>
                    <a:prstGeom prst="rect">
                      <a:avLst/>
                    </a:prstGeom>
                    <a:noFill/>
                    <a:ln>
                      <a:noFill/>
                    </a:ln>
                  </pic:spPr>
                </pic:pic>
              </a:graphicData>
            </a:graphic>
          </wp:inline>
        </w:drawing>
      </w:r>
      <w:r>
        <w:rPr>
          <w:rFonts w:hint="eastAsia"/>
          <w:highlight w:val="none"/>
        </w:rPr>
        <w:t xml:space="preserve">       </w:t>
      </w:r>
      <w:r>
        <w:rPr>
          <w:highlight w:val="none"/>
        </w:rPr>
        <w:drawing>
          <wp:inline distT="0" distB="0" distL="114300" distR="114300">
            <wp:extent cx="1515110" cy="1805940"/>
            <wp:effectExtent l="0" t="0" r="8890" b="381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33" cstate="print"/>
                    <a:stretch>
                      <a:fillRect/>
                    </a:stretch>
                  </pic:blipFill>
                  <pic:spPr>
                    <a:xfrm>
                      <a:off x="0" y="0"/>
                      <a:ext cx="1515110" cy="1805940"/>
                    </a:xfrm>
                    <a:prstGeom prst="rect">
                      <a:avLst/>
                    </a:prstGeom>
                    <a:noFill/>
                    <a:ln>
                      <a:noFill/>
                    </a:ln>
                  </pic:spPr>
                </pic:pic>
              </a:graphicData>
            </a:graphic>
          </wp:inline>
        </w:drawing>
      </w:r>
    </w:p>
    <w:p>
      <w:pPr>
        <w:pStyle w:val="18"/>
        <w:ind w:firstLine="420"/>
        <w:rPr>
          <w:highlight w:val="none"/>
        </w:rPr>
      </w:pPr>
      <w:r>
        <w:rPr>
          <w:highlight w:val="none"/>
        </w:rPr>
        <w:drawing>
          <wp:inline distT="0" distB="0" distL="114300" distR="114300">
            <wp:extent cx="800100" cy="1715135"/>
            <wp:effectExtent l="0" t="0" r="0" b="1841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34" cstate="print"/>
                    <a:stretch>
                      <a:fillRect/>
                    </a:stretch>
                  </pic:blipFill>
                  <pic:spPr>
                    <a:xfrm>
                      <a:off x="0" y="0"/>
                      <a:ext cx="800100" cy="1715135"/>
                    </a:xfrm>
                    <a:prstGeom prst="rect">
                      <a:avLst/>
                    </a:prstGeom>
                    <a:noFill/>
                    <a:ln>
                      <a:noFill/>
                    </a:ln>
                  </pic:spPr>
                </pic:pic>
              </a:graphicData>
            </a:graphic>
          </wp:inline>
        </w:drawing>
      </w:r>
      <w:r>
        <w:rPr>
          <w:rFonts w:hint="eastAsia"/>
          <w:highlight w:val="none"/>
        </w:rPr>
        <w:t xml:space="preserve">      </w:t>
      </w:r>
      <w:r>
        <w:rPr>
          <w:highlight w:val="none"/>
        </w:rPr>
        <w:drawing>
          <wp:inline distT="0" distB="0" distL="114300" distR="114300">
            <wp:extent cx="1238885" cy="1739265"/>
            <wp:effectExtent l="0" t="0" r="18415" b="1333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35" cstate="print"/>
                    <a:stretch>
                      <a:fillRect/>
                    </a:stretch>
                  </pic:blipFill>
                  <pic:spPr>
                    <a:xfrm>
                      <a:off x="0" y="0"/>
                      <a:ext cx="1238885" cy="1739265"/>
                    </a:xfrm>
                    <a:prstGeom prst="rect">
                      <a:avLst/>
                    </a:prstGeom>
                    <a:noFill/>
                    <a:ln>
                      <a:noFill/>
                    </a:ln>
                  </pic:spPr>
                </pic:pic>
              </a:graphicData>
            </a:graphic>
          </wp:inline>
        </w:drawing>
      </w:r>
      <w:r>
        <w:rPr>
          <w:rFonts w:hint="eastAsia"/>
          <w:highlight w:val="none"/>
        </w:rPr>
        <w:t xml:space="preserve">      </w:t>
      </w:r>
      <w:r>
        <w:rPr>
          <w:highlight w:val="none"/>
        </w:rPr>
        <w:drawing>
          <wp:inline distT="0" distB="0" distL="114300" distR="114300">
            <wp:extent cx="714375" cy="1743075"/>
            <wp:effectExtent l="0" t="0" r="9525" b="952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36" cstate="print"/>
                    <a:stretch>
                      <a:fillRect/>
                    </a:stretch>
                  </pic:blipFill>
                  <pic:spPr>
                    <a:xfrm>
                      <a:off x="0" y="0"/>
                      <a:ext cx="714375" cy="1743075"/>
                    </a:xfrm>
                    <a:prstGeom prst="rect">
                      <a:avLst/>
                    </a:prstGeom>
                    <a:noFill/>
                    <a:ln>
                      <a:noFill/>
                    </a:ln>
                  </pic:spPr>
                </pic:pic>
              </a:graphicData>
            </a:graphic>
          </wp:inline>
        </w:drawing>
      </w:r>
      <w:r>
        <w:rPr>
          <w:rFonts w:hint="eastAsia"/>
          <w:highlight w:val="none"/>
        </w:rPr>
        <w:t xml:space="preserve">     </w:t>
      </w:r>
      <w:r>
        <w:rPr>
          <w:highlight w:val="none"/>
        </w:rPr>
        <w:drawing>
          <wp:inline distT="0" distB="0" distL="114300" distR="114300">
            <wp:extent cx="581660" cy="1729105"/>
            <wp:effectExtent l="0" t="0" r="8890" b="444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37" cstate="print"/>
                    <a:stretch>
                      <a:fillRect/>
                    </a:stretch>
                  </pic:blipFill>
                  <pic:spPr>
                    <a:xfrm>
                      <a:off x="0" y="0"/>
                      <a:ext cx="581660" cy="1729105"/>
                    </a:xfrm>
                    <a:prstGeom prst="rect">
                      <a:avLst/>
                    </a:prstGeom>
                    <a:noFill/>
                    <a:ln>
                      <a:noFill/>
                    </a:ln>
                  </pic:spPr>
                </pic:pic>
              </a:graphicData>
            </a:graphic>
          </wp:inline>
        </w:drawing>
      </w:r>
    </w:p>
    <w:p>
      <w:pPr>
        <w:pStyle w:val="18"/>
        <w:tabs>
          <w:tab w:val="center" w:pos="4201"/>
          <w:tab w:val="right" w:leader="dot" w:pos="9298"/>
        </w:tabs>
        <w:spacing w:beforeLines="50" w:afterLines="50"/>
        <w:ind w:firstLine="0" w:firstLineChars="0"/>
        <w:jc w:val="center"/>
        <w:rPr>
          <w:rFonts w:ascii="黑体" w:hAnsi="黑体" w:eastAsia="黑体"/>
          <w:highlight w:val="none"/>
        </w:rPr>
      </w:pPr>
      <w:r>
        <w:rPr>
          <w:rFonts w:hint="eastAsia" w:ascii="黑体" w:hAnsi="黑体" w:eastAsia="黑体"/>
          <w:highlight w:val="none"/>
        </w:rPr>
        <w:t>图2　电子配件样品照片</w:t>
      </w:r>
    </w:p>
    <w:p>
      <w:pPr>
        <w:pStyle w:val="18"/>
        <w:tabs>
          <w:tab w:val="center" w:pos="4201"/>
          <w:tab w:val="right" w:leader="dot" w:pos="9298"/>
        </w:tabs>
        <w:spacing w:beforeLines="50" w:afterLines="50"/>
        <w:ind w:firstLine="0" w:firstLineChars="0"/>
        <w:jc w:val="center"/>
        <w:rPr>
          <w:rFonts w:ascii="黑体" w:hAnsi="黑体" w:eastAsia="黑体"/>
          <w:highlight w:val="none"/>
        </w:rPr>
      </w:pPr>
    </w:p>
    <w:p>
      <w:pPr>
        <w:pStyle w:val="18"/>
        <w:tabs>
          <w:tab w:val="center" w:pos="4201"/>
          <w:tab w:val="right" w:leader="dot" w:pos="9298"/>
        </w:tabs>
        <w:spacing w:beforeLines="50" w:afterLines="50"/>
        <w:ind w:firstLine="0" w:firstLineChars="0"/>
        <w:jc w:val="center"/>
        <w:rPr>
          <w:rFonts w:eastAsia="黑体"/>
          <w:highlight w:val="none"/>
        </w:rPr>
      </w:pPr>
      <w:r>
        <w:rPr>
          <w:rFonts w:hint="eastAsia" w:ascii="黑体" w:hAnsi="黑体" w:eastAsia="黑体"/>
          <w:highlight w:val="none"/>
        </w:rPr>
        <w:t>表7　配件功能测试数据</w:t>
      </w:r>
    </w:p>
    <w:tbl>
      <w:tblPr>
        <w:tblStyle w:val="11"/>
        <w:tblW w:w="98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995"/>
        <w:gridCol w:w="992"/>
        <w:gridCol w:w="827"/>
        <w:gridCol w:w="822"/>
        <w:gridCol w:w="1161"/>
        <w:gridCol w:w="1371"/>
        <w:gridCol w:w="1034"/>
        <w:gridCol w:w="1085"/>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99" w:type="dxa"/>
            <w:tcBorders>
              <w:top w:val="single" w:color="auto" w:sz="12" w:space="0"/>
              <w:left w:val="single" w:color="auto" w:sz="12" w:space="0"/>
            </w:tcBorders>
            <w:vAlign w:val="center"/>
          </w:tcPr>
          <w:p>
            <w:pPr>
              <w:pStyle w:val="18"/>
              <w:adjustRightInd w:val="0"/>
              <w:snapToGrid w:val="0"/>
              <w:ind w:firstLine="0" w:firstLineChars="0"/>
              <w:jc w:val="center"/>
              <w:rPr>
                <w:rFonts w:hAnsi="宋体"/>
                <w:b/>
                <w:bCs/>
                <w:szCs w:val="21"/>
                <w:highlight w:val="none"/>
              </w:rPr>
            </w:pPr>
            <w:r>
              <w:rPr>
                <w:rFonts w:hint="eastAsia" w:hAnsi="宋体"/>
                <w:b/>
                <w:bCs/>
                <w:szCs w:val="21"/>
                <w:highlight w:val="none"/>
              </w:rPr>
              <w:t>序号</w:t>
            </w:r>
          </w:p>
        </w:tc>
        <w:tc>
          <w:tcPr>
            <w:tcW w:w="1108" w:type="dxa"/>
            <w:tcBorders>
              <w:top w:val="single" w:color="auto" w:sz="12" w:space="0"/>
            </w:tcBorders>
            <w:vAlign w:val="center"/>
          </w:tcPr>
          <w:p>
            <w:pPr>
              <w:pStyle w:val="18"/>
              <w:adjustRightInd w:val="0"/>
              <w:snapToGrid w:val="0"/>
              <w:ind w:firstLine="0" w:firstLineChars="0"/>
              <w:jc w:val="center"/>
              <w:rPr>
                <w:rFonts w:hAnsi="宋体"/>
                <w:b/>
                <w:bCs/>
                <w:szCs w:val="21"/>
                <w:highlight w:val="none"/>
              </w:rPr>
            </w:pPr>
            <w:r>
              <w:rPr>
                <w:rFonts w:hint="eastAsia" w:hAnsi="宋体"/>
                <w:b/>
                <w:bCs/>
                <w:szCs w:val="21"/>
                <w:highlight w:val="none"/>
              </w:rPr>
              <w:t>样品名称</w:t>
            </w:r>
          </w:p>
        </w:tc>
        <w:tc>
          <w:tcPr>
            <w:tcW w:w="1104" w:type="dxa"/>
            <w:tcBorders>
              <w:top w:val="single" w:color="auto" w:sz="12" w:space="0"/>
            </w:tcBorders>
            <w:vAlign w:val="center"/>
          </w:tcPr>
          <w:p>
            <w:pPr>
              <w:pStyle w:val="18"/>
              <w:adjustRightInd w:val="0"/>
              <w:snapToGrid w:val="0"/>
              <w:ind w:firstLine="0" w:firstLineChars="0"/>
              <w:jc w:val="center"/>
              <w:rPr>
                <w:rFonts w:hAnsi="宋体"/>
                <w:b/>
                <w:bCs/>
                <w:szCs w:val="21"/>
                <w:highlight w:val="none"/>
              </w:rPr>
            </w:pPr>
            <w:r>
              <w:rPr>
                <w:rFonts w:hint="eastAsia" w:hAnsi="宋体"/>
                <w:b/>
                <w:bCs/>
                <w:szCs w:val="21"/>
                <w:highlight w:val="none"/>
              </w:rPr>
              <w:t>遥控器</w:t>
            </w:r>
          </w:p>
        </w:tc>
        <w:tc>
          <w:tcPr>
            <w:tcW w:w="906" w:type="dxa"/>
            <w:tcBorders>
              <w:top w:val="single" w:color="auto" w:sz="12" w:space="0"/>
            </w:tcBorders>
            <w:vAlign w:val="center"/>
          </w:tcPr>
          <w:p>
            <w:pPr>
              <w:pStyle w:val="18"/>
              <w:adjustRightInd w:val="0"/>
              <w:snapToGrid w:val="0"/>
              <w:ind w:firstLine="0" w:firstLineChars="0"/>
              <w:jc w:val="center"/>
              <w:rPr>
                <w:rFonts w:hAnsi="宋体"/>
                <w:b/>
                <w:bCs/>
                <w:szCs w:val="21"/>
                <w:highlight w:val="none"/>
              </w:rPr>
            </w:pPr>
            <w:r>
              <w:rPr>
                <w:rFonts w:hint="eastAsia" w:hAnsi="宋体"/>
                <w:b/>
                <w:bCs/>
                <w:szCs w:val="21"/>
                <w:highlight w:val="none"/>
              </w:rPr>
              <w:t>驱动器</w:t>
            </w:r>
          </w:p>
        </w:tc>
        <w:tc>
          <w:tcPr>
            <w:tcW w:w="900" w:type="dxa"/>
            <w:tcBorders>
              <w:top w:val="single" w:color="auto" w:sz="12" w:space="0"/>
            </w:tcBorders>
            <w:vAlign w:val="center"/>
          </w:tcPr>
          <w:p>
            <w:pPr>
              <w:pStyle w:val="18"/>
              <w:adjustRightInd w:val="0"/>
              <w:snapToGrid w:val="0"/>
              <w:ind w:firstLine="0" w:firstLineChars="0"/>
              <w:jc w:val="center"/>
              <w:rPr>
                <w:rFonts w:hAnsi="宋体"/>
                <w:b/>
                <w:bCs/>
                <w:szCs w:val="21"/>
                <w:highlight w:val="none"/>
              </w:rPr>
            </w:pPr>
            <w:r>
              <w:rPr>
                <w:rFonts w:hint="eastAsia" w:hAnsi="宋体"/>
                <w:b/>
                <w:bCs/>
                <w:szCs w:val="21"/>
                <w:highlight w:val="none"/>
              </w:rPr>
              <w:t>床底灯</w:t>
            </w:r>
          </w:p>
        </w:tc>
        <w:tc>
          <w:tcPr>
            <w:tcW w:w="930" w:type="dxa"/>
            <w:tcBorders>
              <w:top w:val="single" w:color="auto" w:sz="12" w:space="0"/>
            </w:tcBorders>
            <w:vAlign w:val="center"/>
          </w:tcPr>
          <w:p>
            <w:pPr>
              <w:pStyle w:val="18"/>
              <w:adjustRightInd w:val="0"/>
              <w:snapToGrid w:val="0"/>
              <w:ind w:firstLine="0" w:firstLineChars="0"/>
              <w:jc w:val="center"/>
              <w:rPr>
                <w:rFonts w:hAnsi="宋体"/>
                <w:b/>
                <w:bCs/>
                <w:szCs w:val="21"/>
                <w:highlight w:val="none"/>
              </w:rPr>
            </w:pPr>
            <w:r>
              <w:rPr>
                <w:rFonts w:hint="eastAsia" w:hAnsi="宋体"/>
                <w:b/>
                <w:bCs/>
                <w:szCs w:val="21"/>
                <w:highlight w:val="none"/>
              </w:rPr>
              <w:t>睡眠传感器</w:t>
            </w:r>
          </w:p>
        </w:tc>
        <w:tc>
          <w:tcPr>
            <w:tcW w:w="930" w:type="dxa"/>
            <w:tcBorders>
              <w:top w:val="single" w:color="auto" w:sz="12" w:space="0"/>
            </w:tcBorders>
            <w:vAlign w:val="center"/>
          </w:tcPr>
          <w:p>
            <w:pPr>
              <w:pStyle w:val="18"/>
              <w:adjustRightInd w:val="0"/>
              <w:snapToGrid w:val="0"/>
              <w:ind w:firstLine="0" w:firstLineChars="0"/>
              <w:jc w:val="center"/>
              <w:rPr>
                <w:rFonts w:hAnsi="宋体"/>
                <w:b/>
                <w:bCs/>
                <w:szCs w:val="21"/>
                <w:highlight w:val="none"/>
              </w:rPr>
            </w:pPr>
            <w:r>
              <w:rPr>
                <w:rFonts w:hint="eastAsia" w:hAnsi="宋体"/>
                <w:b/>
                <w:bCs/>
                <w:szCs w:val="21"/>
                <w:highlight w:val="none"/>
              </w:rPr>
              <w:t>WIFI控制盒</w:t>
            </w:r>
          </w:p>
        </w:tc>
        <w:tc>
          <w:tcPr>
            <w:tcW w:w="1050" w:type="dxa"/>
            <w:tcBorders>
              <w:top w:val="single" w:color="auto" w:sz="12" w:space="0"/>
            </w:tcBorders>
            <w:vAlign w:val="center"/>
          </w:tcPr>
          <w:p>
            <w:pPr>
              <w:pStyle w:val="18"/>
              <w:adjustRightInd w:val="0"/>
              <w:snapToGrid w:val="0"/>
              <w:ind w:firstLine="0" w:firstLineChars="0"/>
              <w:jc w:val="center"/>
              <w:rPr>
                <w:rFonts w:hAnsi="宋体"/>
                <w:b/>
                <w:bCs/>
                <w:szCs w:val="21"/>
                <w:highlight w:val="none"/>
              </w:rPr>
            </w:pPr>
            <w:r>
              <w:rPr>
                <w:rFonts w:hint="eastAsia" w:hAnsi="宋体"/>
                <w:b/>
                <w:bCs/>
                <w:szCs w:val="21"/>
                <w:highlight w:val="none"/>
              </w:rPr>
              <w:t>USB</w:t>
            </w:r>
          </w:p>
        </w:tc>
        <w:tc>
          <w:tcPr>
            <w:tcW w:w="1215" w:type="dxa"/>
            <w:tcBorders>
              <w:top w:val="single" w:color="auto" w:sz="12" w:space="0"/>
            </w:tcBorders>
            <w:vAlign w:val="center"/>
          </w:tcPr>
          <w:p>
            <w:pPr>
              <w:pStyle w:val="18"/>
              <w:adjustRightInd w:val="0"/>
              <w:snapToGrid w:val="0"/>
              <w:ind w:firstLine="0" w:firstLineChars="0"/>
              <w:jc w:val="center"/>
              <w:rPr>
                <w:rFonts w:hAnsi="宋体"/>
                <w:b/>
                <w:bCs/>
                <w:szCs w:val="21"/>
                <w:highlight w:val="none"/>
              </w:rPr>
            </w:pPr>
            <w:r>
              <w:rPr>
                <w:rFonts w:hint="eastAsia" w:hAnsi="宋体"/>
                <w:b/>
                <w:bCs/>
                <w:szCs w:val="21"/>
                <w:highlight w:val="none"/>
              </w:rPr>
              <w:t>振动器</w:t>
            </w:r>
          </w:p>
        </w:tc>
        <w:tc>
          <w:tcPr>
            <w:tcW w:w="825" w:type="dxa"/>
            <w:tcBorders>
              <w:top w:val="single" w:color="auto" w:sz="12" w:space="0"/>
              <w:right w:val="single" w:color="auto" w:sz="12" w:space="0"/>
            </w:tcBorders>
            <w:vAlign w:val="center"/>
          </w:tcPr>
          <w:p>
            <w:pPr>
              <w:pStyle w:val="18"/>
              <w:adjustRightInd w:val="0"/>
              <w:snapToGrid w:val="0"/>
              <w:ind w:firstLine="0" w:firstLineChars="0"/>
              <w:jc w:val="center"/>
              <w:rPr>
                <w:rFonts w:hAnsi="宋体"/>
                <w:b/>
                <w:bCs/>
                <w:szCs w:val="21"/>
                <w:highlight w:val="none"/>
              </w:rPr>
            </w:pPr>
            <w:r>
              <w:rPr>
                <w:rFonts w:hint="eastAsia" w:hAnsi="宋体"/>
                <w:b/>
                <w:bCs/>
                <w:szCs w:val="21"/>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99" w:type="dxa"/>
            <w:tcBorders>
              <w:left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样品1</w:t>
            </w:r>
          </w:p>
        </w:tc>
        <w:tc>
          <w:tcPr>
            <w:tcW w:w="1108"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可调节床</w:t>
            </w:r>
          </w:p>
        </w:tc>
        <w:tc>
          <w:tcPr>
            <w:tcW w:w="1104"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功能正常</w:t>
            </w:r>
          </w:p>
        </w:tc>
        <w:tc>
          <w:tcPr>
            <w:tcW w:w="906"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功能正常</w:t>
            </w:r>
          </w:p>
        </w:tc>
        <w:tc>
          <w:tcPr>
            <w:tcW w:w="900"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w:t>
            </w:r>
          </w:p>
        </w:tc>
        <w:tc>
          <w:tcPr>
            <w:tcW w:w="930"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w:t>
            </w:r>
          </w:p>
        </w:tc>
        <w:tc>
          <w:tcPr>
            <w:tcW w:w="930"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w:t>
            </w:r>
          </w:p>
        </w:tc>
        <w:tc>
          <w:tcPr>
            <w:tcW w:w="1050"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w:t>
            </w:r>
          </w:p>
        </w:tc>
        <w:tc>
          <w:tcPr>
            <w:tcW w:w="1215"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w:t>
            </w:r>
          </w:p>
        </w:tc>
        <w:tc>
          <w:tcPr>
            <w:tcW w:w="825" w:type="dxa"/>
            <w:tcBorders>
              <w:right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99" w:type="dxa"/>
            <w:tcBorders>
              <w:left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样品2</w:t>
            </w:r>
          </w:p>
        </w:tc>
        <w:tc>
          <w:tcPr>
            <w:tcW w:w="1108"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可调节床</w:t>
            </w:r>
          </w:p>
        </w:tc>
        <w:tc>
          <w:tcPr>
            <w:tcW w:w="1104"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功能正常</w:t>
            </w:r>
          </w:p>
        </w:tc>
        <w:tc>
          <w:tcPr>
            <w:tcW w:w="906"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功能正常</w:t>
            </w:r>
          </w:p>
        </w:tc>
        <w:tc>
          <w:tcPr>
            <w:tcW w:w="900"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功能正常</w:t>
            </w:r>
          </w:p>
        </w:tc>
        <w:tc>
          <w:tcPr>
            <w:tcW w:w="930"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w:t>
            </w:r>
          </w:p>
        </w:tc>
        <w:tc>
          <w:tcPr>
            <w:tcW w:w="930"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w:t>
            </w:r>
          </w:p>
        </w:tc>
        <w:tc>
          <w:tcPr>
            <w:tcW w:w="1050"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左：输出电流为 1A 时，电压为 5.11V；</w:t>
            </w:r>
          </w:p>
          <w:p>
            <w:pPr>
              <w:pStyle w:val="18"/>
              <w:adjustRightInd w:val="0"/>
              <w:snapToGrid w:val="0"/>
              <w:ind w:firstLine="0" w:firstLineChars="0"/>
              <w:jc w:val="center"/>
              <w:rPr>
                <w:rFonts w:hAnsi="宋体"/>
                <w:szCs w:val="21"/>
                <w:highlight w:val="none"/>
              </w:rPr>
            </w:pPr>
            <w:r>
              <w:rPr>
                <w:rFonts w:hint="eastAsia" w:hAnsi="宋体"/>
                <w:szCs w:val="21"/>
                <w:highlight w:val="none"/>
              </w:rPr>
              <w:t>右：输出电流为 1A 时，电压为 5.12V</w:t>
            </w:r>
          </w:p>
        </w:tc>
        <w:tc>
          <w:tcPr>
            <w:tcW w:w="1215"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3档可循环</w:t>
            </w:r>
          </w:p>
        </w:tc>
        <w:tc>
          <w:tcPr>
            <w:tcW w:w="825" w:type="dxa"/>
            <w:tcBorders>
              <w:right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99" w:type="dxa"/>
            <w:tcBorders>
              <w:left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样品3</w:t>
            </w:r>
          </w:p>
        </w:tc>
        <w:tc>
          <w:tcPr>
            <w:tcW w:w="1108"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可调节床</w:t>
            </w:r>
          </w:p>
        </w:tc>
        <w:tc>
          <w:tcPr>
            <w:tcW w:w="1104"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功能正常</w:t>
            </w:r>
          </w:p>
        </w:tc>
        <w:tc>
          <w:tcPr>
            <w:tcW w:w="906"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功能正常</w:t>
            </w:r>
          </w:p>
        </w:tc>
        <w:tc>
          <w:tcPr>
            <w:tcW w:w="900"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w:t>
            </w:r>
          </w:p>
        </w:tc>
        <w:tc>
          <w:tcPr>
            <w:tcW w:w="930"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w:t>
            </w:r>
          </w:p>
        </w:tc>
        <w:tc>
          <w:tcPr>
            <w:tcW w:w="930"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w:t>
            </w:r>
          </w:p>
        </w:tc>
        <w:tc>
          <w:tcPr>
            <w:tcW w:w="1050"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w:t>
            </w:r>
          </w:p>
        </w:tc>
        <w:tc>
          <w:tcPr>
            <w:tcW w:w="1215"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w:t>
            </w:r>
          </w:p>
        </w:tc>
        <w:tc>
          <w:tcPr>
            <w:tcW w:w="825" w:type="dxa"/>
            <w:tcBorders>
              <w:right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99" w:type="dxa"/>
            <w:tcBorders>
              <w:left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样品4</w:t>
            </w:r>
          </w:p>
        </w:tc>
        <w:tc>
          <w:tcPr>
            <w:tcW w:w="1108"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可调节床</w:t>
            </w:r>
          </w:p>
        </w:tc>
        <w:tc>
          <w:tcPr>
            <w:tcW w:w="1104"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功能正常</w:t>
            </w:r>
          </w:p>
        </w:tc>
        <w:tc>
          <w:tcPr>
            <w:tcW w:w="906"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功能正常</w:t>
            </w:r>
          </w:p>
        </w:tc>
        <w:tc>
          <w:tcPr>
            <w:tcW w:w="900"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w:t>
            </w:r>
          </w:p>
        </w:tc>
        <w:tc>
          <w:tcPr>
            <w:tcW w:w="930"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w:t>
            </w:r>
          </w:p>
        </w:tc>
        <w:tc>
          <w:tcPr>
            <w:tcW w:w="930"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w:t>
            </w:r>
          </w:p>
        </w:tc>
        <w:tc>
          <w:tcPr>
            <w:tcW w:w="1050"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w:t>
            </w:r>
          </w:p>
        </w:tc>
        <w:tc>
          <w:tcPr>
            <w:tcW w:w="1215"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w:t>
            </w:r>
          </w:p>
        </w:tc>
        <w:tc>
          <w:tcPr>
            <w:tcW w:w="825" w:type="dxa"/>
            <w:tcBorders>
              <w:right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99" w:type="dxa"/>
            <w:tcBorders>
              <w:left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样品5</w:t>
            </w:r>
          </w:p>
        </w:tc>
        <w:tc>
          <w:tcPr>
            <w:tcW w:w="1108"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可调节床</w:t>
            </w:r>
          </w:p>
        </w:tc>
        <w:tc>
          <w:tcPr>
            <w:tcW w:w="1104"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功能正常</w:t>
            </w:r>
          </w:p>
        </w:tc>
        <w:tc>
          <w:tcPr>
            <w:tcW w:w="906"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功能正常</w:t>
            </w:r>
          </w:p>
        </w:tc>
        <w:tc>
          <w:tcPr>
            <w:tcW w:w="900"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功能正常</w:t>
            </w:r>
          </w:p>
        </w:tc>
        <w:tc>
          <w:tcPr>
            <w:tcW w:w="930"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w:t>
            </w:r>
          </w:p>
        </w:tc>
        <w:tc>
          <w:tcPr>
            <w:tcW w:w="930"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w:t>
            </w:r>
          </w:p>
        </w:tc>
        <w:tc>
          <w:tcPr>
            <w:tcW w:w="1050"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左：输出电流为 1A 时，电压为 5.02V；</w:t>
            </w:r>
          </w:p>
          <w:p>
            <w:pPr>
              <w:pStyle w:val="18"/>
              <w:adjustRightInd w:val="0"/>
              <w:snapToGrid w:val="0"/>
              <w:ind w:firstLine="0" w:firstLineChars="0"/>
              <w:jc w:val="center"/>
              <w:rPr>
                <w:rFonts w:hAnsi="宋体"/>
                <w:szCs w:val="21"/>
                <w:highlight w:val="none"/>
              </w:rPr>
            </w:pPr>
            <w:r>
              <w:rPr>
                <w:rFonts w:hint="eastAsia" w:hAnsi="宋体"/>
                <w:szCs w:val="21"/>
                <w:highlight w:val="none"/>
              </w:rPr>
              <w:t>右：输出电流为 1A 时，电压为 4.98V</w:t>
            </w:r>
          </w:p>
        </w:tc>
        <w:tc>
          <w:tcPr>
            <w:tcW w:w="1215"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2档可循环</w:t>
            </w:r>
          </w:p>
        </w:tc>
        <w:tc>
          <w:tcPr>
            <w:tcW w:w="825" w:type="dxa"/>
            <w:tcBorders>
              <w:right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99" w:type="dxa"/>
            <w:tcBorders>
              <w:left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样品6</w:t>
            </w:r>
          </w:p>
        </w:tc>
        <w:tc>
          <w:tcPr>
            <w:tcW w:w="1108"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可调节床</w:t>
            </w:r>
          </w:p>
        </w:tc>
        <w:tc>
          <w:tcPr>
            <w:tcW w:w="1104"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功能正常</w:t>
            </w:r>
          </w:p>
        </w:tc>
        <w:tc>
          <w:tcPr>
            <w:tcW w:w="906"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功能正常</w:t>
            </w:r>
          </w:p>
        </w:tc>
        <w:tc>
          <w:tcPr>
            <w:tcW w:w="900"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功能正常</w:t>
            </w:r>
          </w:p>
        </w:tc>
        <w:tc>
          <w:tcPr>
            <w:tcW w:w="930"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使用“去睡吧”APP，测得心率 62~70，使用脉搏血</w:t>
            </w:r>
          </w:p>
          <w:p>
            <w:pPr>
              <w:pStyle w:val="18"/>
              <w:adjustRightInd w:val="0"/>
              <w:snapToGrid w:val="0"/>
              <w:ind w:firstLine="0" w:firstLineChars="0"/>
              <w:jc w:val="center"/>
              <w:rPr>
                <w:rFonts w:hAnsi="宋体"/>
                <w:szCs w:val="21"/>
                <w:highlight w:val="none"/>
              </w:rPr>
            </w:pPr>
            <w:r>
              <w:rPr>
                <w:rFonts w:hint="eastAsia" w:hAnsi="宋体"/>
                <w:szCs w:val="21"/>
                <w:highlight w:val="none"/>
              </w:rPr>
              <w:t>氧仪测得心率 80~88</w:t>
            </w:r>
          </w:p>
        </w:tc>
        <w:tc>
          <w:tcPr>
            <w:tcW w:w="930"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使用“去睡吧”APP，ID：000001184，连接功能正常，床控功能正常</w:t>
            </w:r>
          </w:p>
        </w:tc>
        <w:tc>
          <w:tcPr>
            <w:tcW w:w="1050"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w:t>
            </w:r>
          </w:p>
        </w:tc>
        <w:tc>
          <w:tcPr>
            <w:tcW w:w="1215" w:type="dxa"/>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3档可循环</w:t>
            </w:r>
          </w:p>
        </w:tc>
        <w:tc>
          <w:tcPr>
            <w:tcW w:w="825" w:type="dxa"/>
            <w:tcBorders>
              <w:right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99" w:type="dxa"/>
            <w:tcBorders>
              <w:left w:val="single" w:color="auto" w:sz="12" w:space="0"/>
              <w:bottom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样品7</w:t>
            </w:r>
          </w:p>
        </w:tc>
        <w:tc>
          <w:tcPr>
            <w:tcW w:w="1108" w:type="dxa"/>
            <w:tcBorders>
              <w:bottom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可调节床</w:t>
            </w:r>
          </w:p>
        </w:tc>
        <w:tc>
          <w:tcPr>
            <w:tcW w:w="1104" w:type="dxa"/>
            <w:tcBorders>
              <w:bottom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功能正常</w:t>
            </w:r>
          </w:p>
        </w:tc>
        <w:tc>
          <w:tcPr>
            <w:tcW w:w="906" w:type="dxa"/>
            <w:tcBorders>
              <w:bottom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功能正常</w:t>
            </w:r>
          </w:p>
        </w:tc>
        <w:tc>
          <w:tcPr>
            <w:tcW w:w="900" w:type="dxa"/>
            <w:tcBorders>
              <w:bottom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w:t>
            </w:r>
          </w:p>
        </w:tc>
        <w:tc>
          <w:tcPr>
            <w:tcW w:w="930" w:type="dxa"/>
            <w:tcBorders>
              <w:bottom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w:t>
            </w:r>
          </w:p>
        </w:tc>
        <w:tc>
          <w:tcPr>
            <w:tcW w:w="930" w:type="dxa"/>
            <w:tcBorders>
              <w:bottom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w:t>
            </w:r>
          </w:p>
        </w:tc>
        <w:tc>
          <w:tcPr>
            <w:tcW w:w="1050" w:type="dxa"/>
            <w:tcBorders>
              <w:bottom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w:t>
            </w:r>
          </w:p>
        </w:tc>
        <w:tc>
          <w:tcPr>
            <w:tcW w:w="1215" w:type="dxa"/>
            <w:tcBorders>
              <w:bottom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w:t>
            </w:r>
          </w:p>
        </w:tc>
        <w:tc>
          <w:tcPr>
            <w:tcW w:w="825" w:type="dxa"/>
            <w:tcBorders>
              <w:bottom w:val="single" w:color="auto" w:sz="12" w:space="0"/>
              <w:right w:val="single" w:color="auto" w:sz="12" w:space="0"/>
            </w:tcBorders>
            <w:vAlign w:val="center"/>
          </w:tcPr>
          <w:p>
            <w:pPr>
              <w:pStyle w:val="18"/>
              <w:adjustRightInd w:val="0"/>
              <w:snapToGrid w:val="0"/>
              <w:ind w:firstLine="0" w:firstLineChars="0"/>
              <w:jc w:val="center"/>
              <w:rPr>
                <w:rFonts w:hAnsi="宋体"/>
                <w:szCs w:val="21"/>
                <w:highlight w:val="none"/>
              </w:rPr>
            </w:pPr>
            <w:r>
              <w:rPr>
                <w:rFonts w:hint="eastAsia" w:hAnsi="宋体"/>
                <w:szCs w:val="21"/>
                <w:highlight w:val="none"/>
              </w:rPr>
              <w:t>合格</w:t>
            </w:r>
          </w:p>
        </w:tc>
      </w:tr>
    </w:tbl>
    <w:p>
      <w:pPr>
        <w:spacing w:beforeLines="50" w:afterLines="50" w:line="360" w:lineRule="exact"/>
        <w:rPr>
          <w:rFonts w:eastAsia="黑体"/>
          <w:sz w:val="24"/>
          <w:highlight w:val="none"/>
        </w:rPr>
      </w:pPr>
      <w:r>
        <w:rPr>
          <w:rFonts w:hint="eastAsia" w:ascii="黑体" w:hAnsi="黑体" w:eastAsia="黑体"/>
          <w:sz w:val="28"/>
          <w:szCs w:val="28"/>
          <w:highlight w:val="none"/>
        </w:rPr>
        <w:t>3.5物理安全（噪音）</w:t>
      </w:r>
    </w:p>
    <w:p>
      <w:pPr>
        <w:pStyle w:val="18"/>
        <w:spacing w:line="500" w:lineRule="exact"/>
        <w:ind w:firstLine="480"/>
        <w:rPr>
          <w:rFonts w:hAnsi="宋体"/>
          <w:sz w:val="24"/>
          <w:highlight w:val="none"/>
        </w:rPr>
      </w:pPr>
      <w:r>
        <w:rPr>
          <w:rFonts w:hint="eastAsia" w:hAnsi="宋体"/>
          <w:sz w:val="24"/>
          <w:highlight w:val="none"/>
        </w:rPr>
        <w:t>对7件智能床样品进行噪音试验，实验结果：7件样品均合格。</w:t>
      </w:r>
    </w:p>
    <w:p>
      <w:pPr>
        <w:pStyle w:val="18"/>
        <w:tabs>
          <w:tab w:val="center" w:pos="4201"/>
          <w:tab w:val="right" w:leader="dot" w:pos="9298"/>
        </w:tabs>
        <w:spacing w:beforeLines="50" w:afterLines="50"/>
        <w:ind w:firstLine="0" w:firstLineChars="0"/>
        <w:jc w:val="center"/>
        <w:rPr>
          <w:rFonts w:eastAsia="黑体"/>
          <w:highlight w:val="none"/>
        </w:rPr>
      </w:pPr>
      <w:r>
        <w:rPr>
          <w:rFonts w:hint="eastAsia" w:ascii="黑体" w:hAnsi="黑体" w:eastAsia="黑体"/>
          <w:highlight w:val="none"/>
        </w:rPr>
        <w:t>表8　噪音测试数据</w:t>
      </w:r>
    </w:p>
    <w:tbl>
      <w:tblPr>
        <w:tblStyle w:val="11"/>
        <w:tblW w:w="91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7"/>
        <w:gridCol w:w="1395"/>
        <w:gridCol w:w="1965"/>
        <w:gridCol w:w="1710"/>
        <w:gridCol w:w="162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257" w:type="dxa"/>
            <w:tcBorders>
              <w:top w:val="single" w:color="auto" w:sz="12" w:space="0"/>
              <w:left w:val="single" w:color="auto" w:sz="12" w:space="0"/>
            </w:tcBorders>
            <w:vAlign w:val="center"/>
          </w:tcPr>
          <w:p>
            <w:pPr>
              <w:pStyle w:val="18"/>
              <w:spacing w:line="500" w:lineRule="exact"/>
              <w:ind w:firstLine="0" w:firstLineChars="0"/>
              <w:jc w:val="center"/>
              <w:rPr>
                <w:rFonts w:hAnsi="宋体"/>
                <w:b/>
                <w:bCs/>
                <w:szCs w:val="21"/>
                <w:highlight w:val="none"/>
              </w:rPr>
            </w:pPr>
            <w:r>
              <w:rPr>
                <w:rFonts w:hint="eastAsia" w:hAnsi="宋体"/>
                <w:b/>
                <w:bCs/>
                <w:szCs w:val="21"/>
                <w:highlight w:val="none"/>
              </w:rPr>
              <w:t>序号</w:t>
            </w:r>
          </w:p>
        </w:tc>
        <w:tc>
          <w:tcPr>
            <w:tcW w:w="1395" w:type="dxa"/>
            <w:tcBorders>
              <w:top w:val="single" w:color="auto" w:sz="12" w:space="0"/>
            </w:tcBorders>
            <w:vAlign w:val="center"/>
          </w:tcPr>
          <w:p>
            <w:pPr>
              <w:pStyle w:val="18"/>
              <w:spacing w:line="500" w:lineRule="exact"/>
              <w:ind w:firstLine="0" w:firstLineChars="0"/>
              <w:jc w:val="center"/>
              <w:rPr>
                <w:rFonts w:hAnsi="宋体"/>
                <w:b/>
                <w:bCs/>
                <w:szCs w:val="21"/>
                <w:highlight w:val="none"/>
              </w:rPr>
            </w:pPr>
            <w:r>
              <w:rPr>
                <w:rFonts w:hint="eastAsia" w:hAnsi="宋体"/>
                <w:b/>
                <w:bCs/>
                <w:szCs w:val="21"/>
                <w:highlight w:val="none"/>
              </w:rPr>
              <w:t>样品名称</w:t>
            </w:r>
          </w:p>
        </w:tc>
        <w:tc>
          <w:tcPr>
            <w:tcW w:w="1965" w:type="dxa"/>
            <w:tcBorders>
              <w:top w:val="single" w:color="auto" w:sz="12" w:space="0"/>
            </w:tcBorders>
            <w:vAlign w:val="center"/>
          </w:tcPr>
          <w:p>
            <w:pPr>
              <w:pStyle w:val="18"/>
              <w:spacing w:line="500" w:lineRule="exact"/>
              <w:ind w:firstLine="0" w:firstLineChars="0"/>
              <w:jc w:val="center"/>
              <w:rPr>
                <w:rFonts w:hAnsi="宋体"/>
                <w:b/>
                <w:bCs/>
                <w:szCs w:val="21"/>
                <w:highlight w:val="none"/>
              </w:rPr>
            </w:pPr>
            <w:r>
              <w:rPr>
                <w:rFonts w:hint="eastAsia" w:hAnsi="宋体"/>
                <w:b/>
                <w:bCs/>
                <w:szCs w:val="21"/>
                <w:highlight w:val="none"/>
              </w:rPr>
              <w:t>环境噪音</w:t>
            </w:r>
          </w:p>
        </w:tc>
        <w:tc>
          <w:tcPr>
            <w:tcW w:w="1710" w:type="dxa"/>
            <w:tcBorders>
              <w:top w:val="single" w:color="auto" w:sz="12" w:space="0"/>
            </w:tcBorders>
            <w:vAlign w:val="center"/>
          </w:tcPr>
          <w:p>
            <w:pPr>
              <w:pStyle w:val="18"/>
              <w:spacing w:line="500" w:lineRule="exact"/>
              <w:ind w:firstLine="0" w:firstLineChars="0"/>
              <w:jc w:val="center"/>
              <w:rPr>
                <w:rFonts w:hAnsi="宋体"/>
                <w:b/>
                <w:bCs/>
                <w:szCs w:val="21"/>
                <w:highlight w:val="none"/>
              </w:rPr>
            </w:pPr>
            <w:r>
              <w:rPr>
                <w:rFonts w:hint="eastAsia" w:hAnsi="宋体"/>
                <w:b/>
                <w:bCs/>
                <w:szCs w:val="21"/>
                <w:highlight w:val="none"/>
              </w:rPr>
              <w:t>最大噪音值</w:t>
            </w:r>
          </w:p>
        </w:tc>
        <w:tc>
          <w:tcPr>
            <w:tcW w:w="1620" w:type="dxa"/>
            <w:tcBorders>
              <w:top w:val="single" w:color="auto" w:sz="12" w:space="0"/>
            </w:tcBorders>
            <w:vAlign w:val="center"/>
          </w:tcPr>
          <w:p>
            <w:pPr>
              <w:pStyle w:val="18"/>
              <w:spacing w:line="500" w:lineRule="exact"/>
              <w:ind w:firstLine="0" w:firstLineChars="0"/>
              <w:jc w:val="center"/>
              <w:rPr>
                <w:rFonts w:hAnsi="宋体"/>
                <w:b/>
                <w:bCs/>
                <w:szCs w:val="21"/>
                <w:highlight w:val="none"/>
              </w:rPr>
            </w:pPr>
            <w:r>
              <w:rPr>
                <w:rFonts w:hint="eastAsia" w:hAnsi="宋体"/>
                <w:b/>
                <w:bCs/>
                <w:szCs w:val="21"/>
                <w:highlight w:val="none"/>
              </w:rPr>
              <w:t>异常噪音</w:t>
            </w:r>
          </w:p>
        </w:tc>
        <w:tc>
          <w:tcPr>
            <w:tcW w:w="1170" w:type="dxa"/>
            <w:tcBorders>
              <w:top w:val="single" w:color="auto" w:sz="12" w:space="0"/>
              <w:right w:val="single" w:color="auto" w:sz="12" w:space="0"/>
            </w:tcBorders>
            <w:vAlign w:val="center"/>
          </w:tcPr>
          <w:p>
            <w:pPr>
              <w:pStyle w:val="18"/>
              <w:spacing w:line="500" w:lineRule="exact"/>
              <w:ind w:firstLine="0" w:firstLineChars="0"/>
              <w:jc w:val="center"/>
              <w:rPr>
                <w:rFonts w:hAnsi="宋体"/>
                <w:b/>
                <w:bCs/>
                <w:szCs w:val="21"/>
                <w:highlight w:val="none"/>
              </w:rPr>
            </w:pPr>
            <w:r>
              <w:rPr>
                <w:rFonts w:hint="eastAsia" w:hAnsi="宋体"/>
                <w:b/>
                <w:bCs/>
                <w:szCs w:val="21"/>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4" w:hRule="atLeast"/>
        </w:trPr>
        <w:tc>
          <w:tcPr>
            <w:tcW w:w="1257" w:type="dxa"/>
            <w:tcBorders>
              <w:lef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样品1</w:t>
            </w:r>
          </w:p>
        </w:tc>
        <w:tc>
          <w:tcPr>
            <w:tcW w:w="1395"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可调节床</w:t>
            </w:r>
          </w:p>
        </w:tc>
        <w:tc>
          <w:tcPr>
            <w:tcW w:w="1965"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老化前：31.6dB</w:t>
            </w:r>
          </w:p>
          <w:p>
            <w:pPr>
              <w:pStyle w:val="18"/>
              <w:spacing w:line="500" w:lineRule="exact"/>
              <w:ind w:firstLine="0" w:firstLineChars="0"/>
              <w:jc w:val="center"/>
              <w:rPr>
                <w:rFonts w:hAnsi="宋体"/>
                <w:szCs w:val="21"/>
                <w:highlight w:val="none"/>
              </w:rPr>
            </w:pPr>
            <w:r>
              <w:rPr>
                <w:rFonts w:hint="eastAsia" w:hAnsi="宋体"/>
                <w:szCs w:val="21"/>
                <w:highlight w:val="none"/>
              </w:rPr>
              <w:t>老化后：32.1dB</w:t>
            </w:r>
          </w:p>
        </w:tc>
        <w:tc>
          <w:tcPr>
            <w:tcW w:w="1710"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老化前：52.4dB</w:t>
            </w:r>
          </w:p>
          <w:p>
            <w:pPr>
              <w:pStyle w:val="18"/>
              <w:spacing w:line="500" w:lineRule="exact"/>
              <w:ind w:firstLine="0" w:firstLineChars="0"/>
              <w:jc w:val="center"/>
              <w:rPr>
                <w:rFonts w:hAnsi="宋体"/>
                <w:szCs w:val="21"/>
                <w:highlight w:val="none"/>
              </w:rPr>
            </w:pPr>
            <w:r>
              <w:rPr>
                <w:rFonts w:hint="eastAsia" w:hAnsi="宋体"/>
                <w:szCs w:val="21"/>
                <w:highlight w:val="none"/>
              </w:rPr>
              <w:t>老化后：54.1dB</w:t>
            </w:r>
          </w:p>
        </w:tc>
        <w:tc>
          <w:tcPr>
            <w:tcW w:w="1620"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未见明显异常</w:t>
            </w:r>
          </w:p>
        </w:tc>
        <w:tc>
          <w:tcPr>
            <w:tcW w:w="1170" w:type="dxa"/>
            <w:tcBorders>
              <w:righ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257" w:type="dxa"/>
            <w:tcBorders>
              <w:lef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样品2</w:t>
            </w:r>
          </w:p>
        </w:tc>
        <w:tc>
          <w:tcPr>
            <w:tcW w:w="1395"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可调节床</w:t>
            </w:r>
          </w:p>
        </w:tc>
        <w:tc>
          <w:tcPr>
            <w:tcW w:w="1965"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老化前：32.8dB</w:t>
            </w:r>
          </w:p>
          <w:p>
            <w:pPr>
              <w:pStyle w:val="18"/>
              <w:spacing w:line="500" w:lineRule="exact"/>
              <w:ind w:firstLine="0" w:firstLineChars="0"/>
              <w:jc w:val="center"/>
              <w:rPr>
                <w:rFonts w:hAnsi="宋体"/>
                <w:szCs w:val="21"/>
                <w:highlight w:val="none"/>
              </w:rPr>
            </w:pPr>
            <w:r>
              <w:rPr>
                <w:rFonts w:hint="eastAsia" w:hAnsi="宋体"/>
                <w:szCs w:val="21"/>
                <w:highlight w:val="none"/>
              </w:rPr>
              <w:t>老化后：31.5dB</w:t>
            </w:r>
          </w:p>
        </w:tc>
        <w:tc>
          <w:tcPr>
            <w:tcW w:w="1710"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老化前：51.6dB</w:t>
            </w:r>
          </w:p>
          <w:p>
            <w:pPr>
              <w:pStyle w:val="18"/>
              <w:spacing w:line="500" w:lineRule="exact"/>
              <w:ind w:firstLine="0" w:firstLineChars="0"/>
              <w:jc w:val="center"/>
              <w:rPr>
                <w:rFonts w:hAnsi="宋体"/>
                <w:szCs w:val="21"/>
                <w:highlight w:val="none"/>
              </w:rPr>
            </w:pPr>
            <w:r>
              <w:rPr>
                <w:rFonts w:hint="eastAsia" w:hAnsi="宋体"/>
                <w:szCs w:val="21"/>
                <w:highlight w:val="none"/>
              </w:rPr>
              <w:t>老化后：53.6dB</w:t>
            </w:r>
          </w:p>
        </w:tc>
        <w:tc>
          <w:tcPr>
            <w:tcW w:w="1620"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未见明显异常</w:t>
            </w:r>
          </w:p>
        </w:tc>
        <w:tc>
          <w:tcPr>
            <w:tcW w:w="1170" w:type="dxa"/>
            <w:tcBorders>
              <w:righ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257" w:type="dxa"/>
            <w:tcBorders>
              <w:lef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样品3</w:t>
            </w:r>
          </w:p>
        </w:tc>
        <w:tc>
          <w:tcPr>
            <w:tcW w:w="1395"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可调节床</w:t>
            </w:r>
          </w:p>
        </w:tc>
        <w:tc>
          <w:tcPr>
            <w:tcW w:w="1965"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老化前：31.2dB</w:t>
            </w:r>
          </w:p>
          <w:p>
            <w:pPr>
              <w:pStyle w:val="18"/>
              <w:spacing w:line="500" w:lineRule="exact"/>
              <w:ind w:firstLine="0" w:firstLineChars="0"/>
              <w:jc w:val="center"/>
              <w:rPr>
                <w:rFonts w:hAnsi="宋体"/>
                <w:szCs w:val="21"/>
                <w:highlight w:val="none"/>
              </w:rPr>
            </w:pPr>
            <w:r>
              <w:rPr>
                <w:rFonts w:hint="eastAsia" w:hAnsi="宋体"/>
                <w:szCs w:val="21"/>
                <w:highlight w:val="none"/>
              </w:rPr>
              <w:t>老化后：32.6dB</w:t>
            </w:r>
          </w:p>
        </w:tc>
        <w:tc>
          <w:tcPr>
            <w:tcW w:w="1710"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老化前：54.5dB</w:t>
            </w:r>
          </w:p>
          <w:p>
            <w:pPr>
              <w:pStyle w:val="18"/>
              <w:spacing w:line="500" w:lineRule="exact"/>
              <w:ind w:firstLine="0" w:firstLineChars="0"/>
              <w:jc w:val="center"/>
              <w:rPr>
                <w:rFonts w:hAnsi="宋体"/>
                <w:szCs w:val="21"/>
                <w:highlight w:val="none"/>
              </w:rPr>
            </w:pPr>
            <w:r>
              <w:rPr>
                <w:rFonts w:hint="eastAsia" w:hAnsi="宋体"/>
                <w:szCs w:val="21"/>
                <w:highlight w:val="none"/>
              </w:rPr>
              <w:t>老化后：54.9dB</w:t>
            </w:r>
          </w:p>
        </w:tc>
        <w:tc>
          <w:tcPr>
            <w:tcW w:w="1620"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未见明显异常</w:t>
            </w:r>
          </w:p>
        </w:tc>
        <w:tc>
          <w:tcPr>
            <w:tcW w:w="1170" w:type="dxa"/>
            <w:tcBorders>
              <w:righ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257" w:type="dxa"/>
            <w:tcBorders>
              <w:lef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样品4</w:t>
            </w:r>
          </w:p>
        </w:tc>
        <w:tc>
          <w:tcPr>
            <w:tcW w:w="1395"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可调节床</w:t>
            </w:r>
          </w:p>
        </w:tc>
        <w:tc>
          <w:tcPr>
            <w:tcW w:w="1965"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老化前：32.1dB</w:t>
            </w:r>
          </w:p>
          <w:p>
            <w:pPr>
              <w:pStyle w:val="18"/>
              <w:spacing w:line="500" w:lineRule="exact"/>
              <w:ind w:firstLine="0" w:firstLineChars="0"/>
              <w:jc w:val="center"/>
              <w:rPr>
                <w:rFonts w:hAnsi="宋体"/>
                <w:szCs w:val="21"/>
                <w:highlight w:val="none"/>
              </w:rPr>
            </w:pPr>
            <w:r>
              <w:rPr>
                <w:rFonts w:hint="eastAsia" w:hAnsi="宋体"/>
                <w:szCs w:val="21"/>
                <w:highlight w:val="none"/>
              </w:rPr>
              <w:t>老化后：32.3dB</w:t>
            </w:r>
          </w:p>
        </w:tc>
        <w:tc>
          <w:tcPr>
            <w:tcW w:w="1710"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老化前：52.1dB</w:t>
            </w:r>
          </w:p>
          <w:p>
            <w:pPr>
              <w:pStyle w:val="18"/>
              <w:spacing w:line="500" w:lineRule="exact"/>
              <w:ind w:firstLine="0" w:firstLineChars="0"/>
              <w:jc w:val="center"/>
              <w:rPr>
                <w:rFonts w:hAnsi="宋体"/>
                <w:szCs w:val="21"/>
                <w:highlight w:val="none"/>
              </w:rPr>
            </w:pPr>
            <w:r>
              <w:rPr>
                <w:rFonts w:hint="eastAsia" w:hAnsi="宋体"/>
                <w:szCs w:val="21"/>
                <w:highlight w:val="none"/>
              </w:rPr>
              <w:t>老化后：55.0dB</w:t>
            </w:r>
          </w:p>
        </w:tc>
        <w:tc>
          <w:tcPr>
            <w:tcW w:w="1620"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未见明显异常</w:t>
            </w:r>
          </w:p>
        </w:tc>
        <w:tc>
          <w:tcPr>
            <w:tcW w:w="1170" w:type="dxa"/>
            <w:tcBorders>
              <w:righ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257" w:type="dxa"/>
            <w:tcBorders>
              <w:lef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样品5</w:t>
            </w:r>
          </w:p>
        </w:tc>
        <w:tc>
          <w:tcPr>
            <w:tcW w:w="1395"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可调节床</w:t>
            </w:r>
          </w:p>
        </w:tc>
        <w:tc>
          <w:tcPr>
            <w:tcW w:w="1965"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老化前：31.2dB</w:t>
            </w:r>
          </w:p>
          <w:p>
            <w:pPr>
              <w:pStyle w:val="18"/>
              <w:spacing w:line="500" w:lineRule="exact"/>
              <w:ind w:firstLine="0" w:firstLineChars="0"/>
              <w:jc w:val="center"/>
              <w:rPr>
                <w:rFonts w:hAnsi="宋体"/>
                <w:szCs w:val="21"/>
                <w:highlight w:val="none"/>
              </w:rPr>
            </w:pPr>
            <w:r>
              <w:rPr>
                <w:rFonts w:hint="eastAsia" w:hAnsi="宋体"/>
                <w:szCs w:val="21"/>
                <w:highlight w:val="none"/>
              </w:rPr>
              <w:t>老化后：32.6dB</w:t>
            </w:r>
          </w:p>
        </w:tc>
        <w:tc>
          <w:tcPr>
            <w:tcW w:w="1710"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老化前：53.0dB</w:t>
            </w:r>
          </w:p>
          <w:p>
            <w:pPr>
              <w:pStyle w:val="18"/>
              <w:spacing w:line="500" w:lineRule="exact"/>
              <w:ind w:firstLine="0" w:firstLineChars="0"/>
              <w:jc w:val="center"/>
              <w:rPr>
                <w:rFonts w:hAnsi="宋体"/>
                <w:szCs w:val="21"/>
                <w:highlight w:val="none"/>
              </w:rPr>
            </w:pPr>
            <w:r>
              <w:rPr>
                <w:rFonts w:hint="eastAsia" w:hAnsi="宋体"/>
                <w:szCs w:val="21"/>
                <w:highlight w:val="none"/>
              </w:rPr>
              <w:t>老化后：54.9dB</w:t>
            </w:r>
          </w:p>
        </w:tc>
        <w:tc>
          <w:tcPr>
            <w:tcW w:w="1620"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未见明显异常</w:t>
            </w:r>
          </w:p>
        </w:tc>
        <w:tc>
          <w:tcPr>
            <w:tcW w:w="1170" w:type="dxa"/>
            <w:tcBorders>
              <w:righ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257" w:type="dxa"/>
            <w:tcBorders>
              <w:lef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样品6</w:t>
            </w:r>
          </w:p>
        </w:tc>
        <w:tc>
          <w:tcPr>
            <w:tcW w:w="1395"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可调节床</w:t>
            </w:r>
          </w:p>
        </w:tc>
        <w:tc>
          <w:tcPr>
            <w:tcW w:w="1965"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老化前：31.8dB</w:t>
            </w:r>
          </w:p>
          <w:p>
            <w:pPr>
              <w:pStyle w:val="18"/>
              <w:spacing w:line="500" w:lineRule="exact"/>
              <w:ind w:firstLine="0" w:firstLineChars="0"/>
              <w:jc w:val="center"/>
              <w:rPr>
                <w:rFonts w:hAnsi="宋体"/>
                <w:szCs w:val="21"/>
                <w:highlight w:val="none"/>
              </w:rPr>
            </w:pPr>
            <w:r>
              <w:rPr>
                <w:rFonts w:hint="eastAsia" w:hAnsi="宋体"/>
                <w:szCs w:val="21"/>
                <w:highlight w:val="none"/>
              </w:rPr>
              <w:t>老化后：31.5dB</w:t>
            </w:r>
          </w:p>
        </w:tc>
        <w:tc>
          <w:tcPr>
            <w:tcW w:w="1710"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老化前：51.5dB</w:t>
            </w:r>
          </w:p>
          <w:p>
            <w:pPr>
              <w:pStyle w:val="18"/>
              <w:spacing w:line="500" w:lineRule="exact"/>
              <w:ind w:firstLine="0" w:firstLineChars="0"/>
              <w:jc w:val="center"/>
              <w:rPr>
                <w:rFonts w:hAnsi="宋体"/>
                <w:szCs w:val="21"/>
                <w:highlight w:val="none"/>
              </w:rPr>
            </w:pPr>
            <w:r>
              <w:rPr>
                <w:rFonts w:hint="eastAsia" w:hAnsi="宋体"/>
                <w:szCs w:val="21"/>
                <w:highlight w:val="none"/>
              </w:rPr>
              <w:t>老化后：52.1dB</w:t>
            </w:r>
          </w:p>
        </w:tc>
        <w:tc>
          <w:tcPr>
            <w:tcW w:w="1620"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未见明显异常</w:t>
            </w:r>
          </w:p>
        </w:tc>
        <w:tc>
          <w:tcPr>
            <w:tcW w:w="1170" w:type="dxa"/>
            <w:tcBorders>
              <w:righ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257" w:type="dxa"/>
            <w:tcBorders>
              <w:left w:val="single" w:color="auto" w:sz="12" w:space="0"/>
              <w:bottom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样品7</w:t>
            </w:r>
          </w:p>
        </w:tc>
        <w:tc>
          <w:tcPr>
            <w:tcW w:w="1395" w:type="dxa"/>
            <w:tcBorders>
              <w:bottom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可调节床</w:t>
            </w:r>
          </w:p>
        </w:tc>
        <w:tc>
          <w:tcPr>
            <w:tcW w:w="1965" w:type="dxa"/>
            <w:tcBorders>
              <w:bottom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老化前：31.8dB</w:t>
            </w:r>
          </w:p>
          <w:p>
            <w:pPr>
              <w:pStyle w:val="18"/>
              <w:spacing w:line="500" w:lineRule="exact"/>
              <w:ind w:firstLine="0" w:firstLineChars="0"/>
              <w:jc w:val="center"/>
              <w:rPr>
                <w:rFonts w:hAnsi="宋体"/>
                <w:szCs w:val="21"/>
                <w:highlight w:val="none"/>
              </w:rPr>
            </w:pPr>
            <w:r>
              <w:rPr>
                <w:rFonts w:hint="eastAsia" w:hAnsi="宋体"/>
                <w:szCs w:val="21"/>
                <w:highlight w:val="none"/>
              </w:rPr>
              <w:t>老化后：32.0dB</w:t>
            </w:r>
          </w:p>
        </w:tc>
        <w:tc>
          <w:tcPr>
            <w:tcW w:w="1710" w:type="dxa"/>
            <w:tcBorders>
              <w:bottom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老化前：52.2dB</w:t>
            </w:r>
          </w:p>
          <w:p>
            <w:pPr>
              <w:pStyle w:val="18"/>
              <w:spacing w:line="500" w:lineRule="exact"/>
              <w:ind w:firstLine="0" w:firstLineChars="0"/>
              <w:jc w:val="center"/>
              <w:rPr>
                <w:rFonts w:hAnsi="宋体"/>
                <w:szCs w:val="21"/>
                <w:highlight w:val="none"/>
              </w:rPr>
            </w:pPr>
            <w:r>
              <w:rPr>
                <w:rFonts w:hint="eastAsia" w:hAnsi="宋体"/>
                <w:szCs w:val="21"/>
                <w:highlight w:val="none"/>
              </w:rPr>
              <w:t>老化后：53.5dB</w:t>
            </w:r>
          </w:p>
        </w:tc>
        <w:tc>
          <w:tcPr>
            <w:tcW w:w="1620" w:type="dxa"/>
            <w:tcBorders>
              <w:bottom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未见明显异常</w:t>
            </w:r>
          </w:p>
        </w:tc>
        <w:tc>
          <w:tcPr>
            <w:tcW w:w="1170" w:type="dxa"/>
            <w:tcBorders>
              <w:bottom w:val="single" w:color="auto" w:sz="12" w:space="0"/>
              <w:righ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合格</w:t>
            </w:r>
          </w:p>
        </w:tc>
      </w:tr>
    </w:tbl>
    <w:p>
      <w:pPr>
        <w:pStyle w:val="18"/>
        <w:ind w:firstLine="480"/>
        <w:rPr>
          <w:rFonts w:hAnsi="宋体"/>
          <w:sz w:val="24"/>
          <w:highlight w:val="none"/>
        </w:rPr>
      </w:pPr>
    </w:p>
    <w:p>
      <w:pPr>
        <w:pStyle w:val="18"/>
        <w:ind w:firstLine="0" w:firstLineChars="0"/>
        <w:rPr>
          <w:highlight w:val="none"/>
        </w:rPr>
      </w:pPr>
      <w:r>
        <w:rPr>
          <w:highlight w:val="none"/>
        </w:rPr>
        <w:drawing>
          <wp:inline distT="0" distB="0" distL="114300" distR="114300">
            <wp:extent cx="5272405" cy="1173480"/>
            <wp:effectExtent l="0" t="0" r="4445" b="762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38" cstate="print"/>
                    <a:stretch>
                      <a:fillRect/>
                    </a:stretch>
                  </pic:blipFill>
                  <pic:spPr>
                    <a:xfrm>
                      <a:off x="0" y="0"/>
                      <a:ext cx="5272405" cy="1173480"/>
                    </a:xfrm>
                    <a:prstGeom prst="rect">
                      <a:avLst/>
                    </a:prstGeom>
                    <a:noFill/>
                    <a:ln>
                      <a:noFill/>
                    </a:ln>
                  </pic:spPr>
                </pic:pic>
              </a:graphicData>
            </a:graphic>
          </wp:inline>
        </w:drawing>
      </w:r>
    </w:p>
    <w:p>
      <w:pPr>
        <w:pStyle w:val="18"/>
        <w:ind w:firstLine="0" w:firstLineChars="0"/>
        <w:rPr>
          <w:highlight w:val="none"/>
        </w:rPr>
      </w:pPr>
      <w:r>
        <w:rPr>
          <w:highlight w:val="none"/>
        </w:rPr>
        <w:drawing>
          <wp:inline distT="0" distB="0" distL="114300" distR="114300">
            <wp:extent cx="5272405" cy="1134110"/>
            <wp:effectExtent l="0" t="0" r="4445" b="889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39" cstate="print"/>
                    <a:stretch>
                      <a:fillRect/>
                    </a:stretch>
                  </pic:blipFill>
                  <pic:spPr>
                    <a:xfrm>
                      <a:off x="0" y="0"/>
                      <a:ext cx="5272405" cy="1134110"/>
                    </a:xfrm>
                    <a:prstGeom prst="rect">
                      <a:avLst/>
                    </a:prstGeom>
                    <a:noFill/>
                    <a:ln>
                      <a:noFill/>
                    </a:ln>
                  </pic:spPr>
                </pic:pic>
              </a:graphicData>
            </a:graphic>
          </wp:inline>
        </w:drawing>
      </w:r>
    </w:p>
    <w:p>
      <w:pPr>
        <w:pStyle w:val="18"/>
        <w:ind w:firstLine="0" w:firstLineChars="0"/>
        <w:rPr>
          <w:highlight w:val="none"/>
        </w:rPr>
      </w:pPr>
      <w:r>
        <w:rPr>
          <w:highlight w:val="none"/>
        </w:rPr>
        <w:drawing>
          <wp:inline distT="0" distB="0" distL="114300" distR="114300">
            <wp:extent cx="5277485" cy="1141730"/>
            <wp:effectExtent l="0" t="0" r="18415" b="127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40" cstate="print"/>
                    <a:stretch>
                      <a:fillRect/>
                    </a:stretch>
                  </pic:blipFill>
                  <pic:spPr>
                    <a:xfrm>
                      <a:off x="0" y="0"/>
                      <a:ext cx="5277485" cy="1141730"/>
                    </a:xfrm>
                    <a:prstGeom prst="rect">
                      <a:avLst/>
                    </a:prstGeom>
                    <a:noFill/>
                    <a:ln>
                      <a:noFill/>
                    </a:ln>
                  </pic:spPr>
                </pic:pic>
              </a:graphicData>
            </a:graphic>
          </wp:inline>
        </w:drawing>
      </w:r>
    </w:p>
    <w:p>
      <w:pPr>
        <w:pStyle w:val="18"/>
        <w:ind w:firstLine="0" w:firstLineChars="0"/>
        <w:rPr>
          <w:highlight w:val="none"/>
        </w:rPr>
      </w:pPr>
      <w:r>
        <w:rPr>
          <w:highlight w:val="none"/>
        </w:rPr>
        <w:drawing>
          <wp:inline distT="0" distB="0" distL="114300" distR="114300">
            <wp:extent cx="5273675" cy="1167130"/>
            <wp:effectExtent l="0" t="0" r="3175" b="13970"/>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41" cstate="print"/>
                    <a:stretch>
                      <a:fillRect/>
                    </a:stretch>
                  </pic:blipFill>
                  <pic:spPr>
                    <a:xfrm>
                      <a:off x="0" y="0"/>
                      <a:ext cx="5273675" cy="1167130"/>
                    </a:xfrm>
                    <a:prstGeom prst="rect">
                      <a:avLst/>
                    </a:prstGeom>
                    <a:noFill/>
                    <a:ln>
                      <a:noFill/>
                    </a:ln>
                  </pic:spPr>
                </pic:pic>
              </a:graphicData>
            </a:graphic>
          </wp:inline>
        </w:drawing>
      </w:r>
    </w:p>
    <w:p>
      <w:pPr>
        <w:pStyle w:val="18"/>
        <w:ind w:firstLine="0" w:firstLineChars="0"/>
        <w:rPr>
          <w:highlight w:val="none"/>
        </w:rPr>
      </w:pPr>
      <w:r>
        <w:rPr>
          <w:highlight w:val="none"/>
        </w:rPr>
        <w:drawing>
          <wp:inline distT="0" distB="0" distL="114300" distR="114300">
            <wp:extent cx="5272405" cy="1238885"/>
            <wp:effectExtent l="0" t="0" r="4445" b="18415"/>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42" cstate="print"/>
                    <a:stretch>
                      <a:fillRect/>
                    </a:stretch>
                  </pic:blipFill>
                  <pic:spPr>
                    <a:xfrm>
                      <a:off x="0" y="0"/>
                      <a:ext cx="5272405" cy="1238885"/>
                    </a:xfrm>
                    <a:prstGeom prst="rect">
                      <a:avLst/>
                    </a:prstGeom>
                    <a:noFill/>
                    <a:ln>
                      <a:noFill/>
                    </a:ln>
                  </pic:spPr>
                </pic:pic>
              </a:graphicData>
            </a:graphic>
          </wp:inline>
        </w:drawing>
      </w:r>
    </w:p>
    <w:p>
      <w:pPr>
        <w:pStyle w:val="18"/>
        <w:ind w:firstLine="0" w:firstLineChars="0"/>
        <w:rPr>
          <w:highlight w:val="none"/>
        </w:rPr>
      </w:pPr>
      <w:r>
        <w:rPr>
          <w:highlight w:val="none"/>
        </w:rPr>
        <w:drawing>
          <wp:inline distT="0" distB="0" distL="114300" distR="114300">
            <wp:extent cx="5276215" cy="1108710"/>
            <wp:effectExtent l="0" t="0" r="635" b="15240"/>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43" cstate="print"/>
                    <a:stretch>
                      <a:fillRect/>
                    </a:stretch>
                  </pic:blipFill>
                  <pic:spPr>
                    <a:xfrm>
                      <a:off x="0" y="0"/>
                      <a:ext cx="5276215" cy="1108710"/>
                    </a:xfrm>
                    <a:prstGeom prst="rect">
                      <a:avLst/>
                    </a:prstGeom>
                    <a:noFill/>
                    <a:ln>
                      <a:noFill/>
                    </a:ln>
                  </pic:spPr>
                </pic:pic>
              </a:graphicData>
            </a:graphic>
          </wp:inline>
        </w:drawing>
      </w:r>
    </w:p>
    <w:p>
      <w:pPr>
        <w:pStyle w:val="18"/>
        <w:ind w:firstLine="0" w:firstLineChars="0"/>
        <w:rPr>
          <w:highlight w:val="none"/>
        </w:rPr>
      </w:pPr>
      <w:r>
        <w:rPr>
          <w:highlight w:val="none"/>
        </w:rPr>
        <w:drawing>
          <wp:inline distT="0" distB="0" distL="114300" distR="114300">
            <wp:extent cx="5274310" cy="1144270"/>
            <wp:effectExtent l="0" t="0" r="2540" b="17780"/>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pic:cNvPicPr>
                      <a:picLocks noChangeAspect="1"/>
                    </pic:cNvPicPr>
                  </pic:nvPicPr>
                  <pic:blipFill>
                    <a:blip r:embed="rId44" cstate="print"/>
                    <a:stretch>
                      <a:fillRect/>
                    </a:stretch>
                  </pic:blipFill>
                  <pic:spPr>
                    <a:xfrm>
                      <a:off x="0" y="0"/>
                      <a:ext cx="5274310" cy="1144270"/>
                    </a:xfrm>
                    <a:prstGeom prst="rect">
                      <a:avLst/>
                    </a:prstGeom>
                    <a:noFill/>
                    <a:ln>
                      <a:noFill/>
                    </a:ln>
                  </pic:spPr>
                </pic:pic>
              </a:graphicData>
            </a:graphic>
          </wp:inline>
        </w:drawing>
      </w:r>
    </w:p>
    <w:p>
      <w:pPr>
        <w:pStyle w:val="18"/>
        <w:tabs>
          <w:tab w:val="center" w:pos="4201"/>
          <w:tab w:val="right" w:leader="dot" w:pos="9298"/>
        </w:tabs>
        <w:spacing w:beforeLines="50" w:afterLines="50"/>
        <w:ind w:firstLine="0" w:firstLineChars="0"/>
        <w:jc w:val="center"/>
        <w:rPr>
          <w:rFonts w:ascii="黑体" w:hAnsi="黑体" w:eastAsia="黑体"/>
          <w:highlight w:val="none"/>
        </w:rPr>
      </w:pPr>
      <w:r>
        <w:rPr>
          <w:rFonts w:hint="eastAsia" w:ascii="黑体" w:hAnsi="黑体" w:eastAsia="黑体"/>
          <w:highlight w:val="none"/>
        </w:rPr>
        <w:t>图3　噪音试验图</w:t>
      </w:r>
    </w:p>
    <w:p>
      <w:pPr>
        <w:spacing w:beforeLines="50" w:afterLines="50" w:line="360" w:lineRule="exact"/>
        <w:rPr>
          <w:rFonts w:eastAsia="黑体"/>
          <w:sz w:val="24"/>
          <w:highlight w:val="none"/>
        </w:rPr>
      </w:pPr>
      <w:r>
        <w:rPr>
          <w:rFonts w:hint="eastAsia" w:ascii="黑体" w:hAnsi="黑体" w:eastAsia="黑体"/>
          <w:sz w:val="28"/>
          <w:szCs w:val="28"/>
          <w:highlight w:val="none"/>
        </w:rPr>
        <w:t>3.6物理安全（温度）</w:t>
      </w:r>
    </w:p>
    <w:p>
      <w:pPr>
        <w:pStyle w:val="18"/>
        <w:spacing w:line="500" w:lineRule="exact"/>
        <w:ind w:firstLine="480"/>
        <w:rPr>
          <w:rFonts w:hAnsi="宋体"/>
          <w:sz w:val="24"/>
          <w:highlight w:val="none"/>
        </w:rPr>
      </w:pPr>
      <w:r>
        <w:rPr>
          <w:rFonts w:hint="eastAsia" w:hAnsi="宋体"/>
          <w:sz w:val="24"/>
          <w:highlight w:val="none"/>
        </w:rPr>
        <w:t>对6件智能马桶样品进行温度试验，实验结果：6件样品均合格。</w:t>
      </w:r>
    </w:p>
    <w:p>
      <w:pPr>
        <w:pStyle w:val="18"/>
        <w:tabs>
          <w:tab w:val="center" w:pos="4201"/>
          <w:tab w:val="right" w:leader="dot" w:pos="9298"/>
        </w:tabs>
        <w:spacing w:beforeLines="50" w:afterLines="50"/>
        <w:ind w:firstLine="0" w:firstLineChars="0"/>
        <w:jc w:val="center"/>
        <w:rPr>
          <w:rFonts w:eastAsia="黑体"/>
          <w:highlight w:val="none"/>
        </w:rPr>
      </w:pPr>
      <w:r>
        <w:rPr>
          <w:rFonts w:hint="eastAsia" w:ascii="黑体" w:hAnsi="黑体" w:eastAsia="黑体"/>
          <w:highlight w:val="none"/>
        </w:rPr>
        <w:t>表9　温度测试数据</w:t>
      </w:r>
    </w:p>
    <w:tbl>
      <w:tblPr>
        <w:tblStyle w:val="11"/>
        <w:tblW w:w="86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8"/>
        <w:gridCol w:w="1618"/>
        <w:gridCol w:w="1526"/>
        <w:gridCol w:w="2737"/>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458" w:type="dxa"/>
            <w:tcBorders>
              <w:top w:val="single" w:color="auto" w:sz="12" w:space="0"/>
              <w:left w:val="single" w:color="auto" w:sz="12" w:space="0"/>
            </w:tcBorders>
            <w:vAlign w:val="center"/>
          </w:tcPr>
          <w:p>
            <w:pPr>
              <w:pStyle w:val="18"/>
              <w:spacing w:line="500" w:lineRule="exact"/>
              <w:ind w:firstLine="0" w:firstLineChars="0"/>
              <w:jc w:val="center"/>
              <w:rPr>
                <w:rFonts w:hAnsi="宋体"/>
                <w:b/>
                <w:bCs/>
                <w:szCs w:val="21"/>
                <w:highlight w:val="none"/>
              </w:rPr>
            </w:pPr>
            <w:r>
              <w:rPr>
                <w:rFonts w:hint="eastAsia" w:hAnsi="宋体"/>
                <w:b/>
                <w:bCs/>
                <w:szCs w:val="21"/>
                <w:highlight w:val="none"/>
              </w:rPr>
              <w:t>序号</w:t>
            </w:r>
          </w:p>
        </w:tc>
        <w:tc>
          <w:tcPr>
            <w:tcW w:w="1618" w:type="dxa"/>
            <w:tcBorders>
              <w:top w:val="single" w:color="auto" w:sz="12" w:space="0"/>
            </w:tcBorders>
            <w:vAlign w:val="center"/>
          </w:tcPr>
          <w:p>
            <w:pPr>
              <w:pStyle w:val="18"/>
              <w:spacing w:line="500" w:lineRule="exact"/>
              <w:ind w:firstLine="0" w:firstLineChars="0"/>
              <w:jc w:val="center"/>
              <w:rPr>
                <w:rFonts w:hAnsi="宋体"/>
                <w:b/>
                <w:bCs/>
                <w:szCs w:val="21"/>
                <w:highlight w:val="none"/>
              </w:rPr>
            </w:pPr>
            <w:r>
              <w:rPr>
                <w:rFonts w:hint="eastAsia" w:hAnsi="宋体"/>
                <w:b/>
                <w:bCs/>
                <w:szCs w:val="21"/>
                <w:highlight w:val="none"/>
              </w:rPr>
              <w:t>样品名称</w:t>
            </w:r>
          </w:p>
        </w:tc>
        <w:tc>
          <w:tcPr>
            <w:tcW w:w="1526" w:type="dxa"/>
            <w:tcBorders>
              <w:top w:val="single" w:color="auto" w:sz="12" w:space="0"/>
            </w:tcBorders>
            <w:vAlign w:val="center"/>
          </w:tcPr>
          <w:p>
            <w:pPr>
              <w:pStyle w:val="18"/>
              <w:spacing w:line="500" w:lineRule="exact"/>
              <w:ind w:firstLine="0" w:firstLineChars="0"/>
              <w:jc w:val="center"/>
              <w:rPr>
                <w:rFonts w:hAnsi="宋体"/>
                <w:b/>
                <w:bCs/>
                <w:szCs w:val="21"/>
                <w:highlight w:val="none"/>
              </w:rPr>
            </w:pPr>
            <w:r>
              <w:rPr>
                <w:rFonts w:hint="eastAsia" w:hAnsi="宋体"/>
                <w:b/>
                <w:bCs/>
                <w:szCs w:val="21"/>
                <w:highlight w:val="none"/>
              </w:rPr>
              <w:t>参数</w:t>
            </w:r>
          </w:p>
        </w:tc>
        <w:tc>
          <w:tcPr>
            <w:tcW w:w="2737" w:type="dxa"/>
            <w:tcBorders>
              <w:top w:val="single" w:color="auto" w:sz="12" w:space="0"/>
            </w:tcBorders>
            <w:vAlign w:val="center"/>
          </w:tcPr>
          <w:p>
            <w:pPr>
              <w:pStyle w:val="18"/>
              <w:spacing w:line="500" w:lineRule="exact"/>
              <w:ind w:firstLine="0" w:firstLineChars="0"/>
              <w:jc w:val="center"/>
              <w:rPr>
                <w:rFonts w:hAnsi="宋体"/>
                <w:b/>
                <w:bCs/>
                <w:szCs w:val="21"/>
                <w:highlight w:val="none"/>
              </w:rPr>
            </w:pPr>
            <w:r>
              <w:rPr>
                <w:rFonts w:hint="eastAsia" w:hAnsi="宋体"/>
                <w:b/>
                <w:bCs/>
                <w:szCs w:val="21"/>
                <w:highlight w:val="none"/>
              </w:rPr>
              <w:t>测试结果</w:t>
            </w:r>
          </w:p>
        </w:tc>
        <w:tc>
          <w:tcPr>
            <w:tcW w:w="1357" w:type="dxa"/>
            <w:tcBorders>
              <w:top w:val="single" w:color="auto" w:sz="12" w:space="0"/>
              <w:right w:val="single" w:color="auto" w:sz="12" w:space="0"/>
            </w:tcBorders>
            <w:vAlign w:val="center"/>
          </w:tcPr>
          <w:p>
            <w:pPr>
              <w:pStyle w:val="18"/>
              <w:spacing w:line="500" w:lineRule="exact"/>
              <w:ind w:firstLine="0" w:firstLineChars="0"/>
              <w:jc w:val="center"/>
              <w:rPr>
                <w:rFonts w:hAnsi="宋体"/>
                <w:b/>
                <w:bCs/>
                <w:szCs w:val="21"/>
                <w:highlight w:val="none"/>
              </w:rPr>
            </w:pPr>
            <w:r>
              <w:rPr>
                <w:rFonts w:hint="eastAsia" w:hAnsi="宋体"/>
                <w:b/>
                <w:bCs/>
                <w:szCs w:val="21"/>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9" w:hRule="atLeast"/>
        </w:trPr>
        <w:tc>
          <w:tcPr>
            <w:tcW w:w="1458" w:type="dxa"/>
            <w:tcBorders>
              <w:lef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样品1</w:t>
            </w:r>
          </w:p>
        </w:tc>
        <w:tc>
          <w:tcPr>
            <w:tcW w:w="1618" w:type="dxa"/>
            <w:vAlign w:val="center"/>
          </w:tcPr>
          <w:p>
            <w:pPr>
              <w:pStyle w:val="18"/>
              <w:spacing w:line="500" w:lineRule="exact"/>
              <w:ind w:firstLine="0" w:firstLineChars="0"/>
              <w:jc w:val="center"/>
              <w:rPr>
                <w:rFonts w:hint="eastAsia" w:hAnsi="宋体" w:eastAsia="宋体"/>
                <w:szCs w:val="21"/>
                <w:highlight w:val="none"/>
                <w:lang w:eastAsia="zh-CN"/>
              </w:rPr>
            </w:pPr>
            <w:r>
              <w:rPr>
                <w:rFonts w:hint="eastAsia" w:hAnsi="宋体"/>
                <w:szCs w:val="21"/>
                <w:highlight w:val="none"/>
                <w:lang w:val="en-US" w:eastAsia="zh-CN"/>
              </w:rPr>
              <w:t>床垫</w:t>
            </w:r>
          </w:p>
        </w:tc>
        <w:tc>
          <w:tcPr>
            <w:tcW w:w="1526"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加热功能</w:t>
            </w:r>
          </w:p>
        </w:tc>
        <w:tc>
          <w:tcPr>
            <w:tcW w:w="2737"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35.8℃~40.4℃</w:t>
            </w:r>
          </w:p>
        </w:tc>
        <w:tc>
          <w:tcPr>
            <w:tcW w:w="1357" w:type="dxa"/>
            <w:tcBorders>
              <w:righ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9" w:hRule="atLeast"/>
        </w:trPr>
        <w:tc>
          <w:tcPr>
            <w:tcW w:w="1458" w:type="dxa"/>
            <w:tcBorders>
              <w:lef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样品2</w:t>
            </w:r>
          </w:p>
        </w:tc>
        <w:tc>
          <w:tcPr>
            <w:tcW w:w="1618" w:type="dxa"/>
            <w:vAlign w:val="center"/>
          </w:tcPr>
          <w:p>
            <w:pPr>
              <w:pStyle w:val="18"/>
              <w:spacing w:line="500" w:lineRule="exact"/>
              <w:ind w:firstLine="0" w:firstLineChars="0"/>
              <w:jc w:val="center"/>
              <w:rPr>
                <w:rFonts w:hint="eastAsia" w:hAnsi="宋体" w:eastAsia="宋体"/>
                <w:szCs w:val="21"/>
                <w:highlight w:val="none"/>
                <w:lang w:eastAsia="zh-CN"/>
              </w:rPr>
            </w:pPr>
            <w:r>
              <w:rPr>
                <w:rFonts w:hint="eastAsia" w:hAnsi="宋体"/>
                <w:szCs w:val="21"/>
                <w:highlight w:val="none"/>
                <w:lang w:val="en-US" w:eastAsia="zh-CN"/>
              </w:rPr>
              <w:t>床垫</w:t>
            </w:r>
          </w:p>
        </w:tc>
        <w:tc>
          <w:tcPr>
            <w:tcW w:w="1526"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加热功能</w:t>
            </w:r>
          </w:p>
        </w:tc>
        <w:tc>
          <w:tcPr>
            <w:tcW w:w="2737" w:type="dxa"/>
            <w:vAlign w:val="center"/>
          </w:tcPr>
          <w:p>
            <w:pPr>
              <w:pStyle w:val="18"/>
              <w:spacing w:line="500" w:lineRule="exact"/>
              <w:ind w:firstLine="0" w:firstLineChars="0"/>
              <w:jc w:val="center"/>
              <w:rPr>
                <w:rFonts w:hAnsi="宋体"/>
                <w:szCs w:val="21"/>
                <w:highlight w:val="none"/>
              </w:rPr>
            </w:pPr>
            <w:r>
              <w:rPr>
                <w:sz w:val="24"/>
                <w:szCs w:val="24"/>
                <w:highlight w:val="none"/>
              </w:rPr>
              <w:t>36.0</w:t>
            </w:r>
            <w:r>
              <w:rPr>
                <w:rFonts w:hint="eastAsia" w:hAnsi="宋体"/>
                <w:szCs w:val="21"/>
                <w:highlight w:val="none"/>
              </w:rPr>
              <w:t>℃</w:t>
            </w:r>
            <w:r>
              <w:rPr>
                <w:sz w:val="24"/>
                <w:szCs w:val="24"/>
                <w:highlight w:val="none"/>
              </w:rPr>
              <w:t>~38.2</w:t>
            </w:r>
            <w:r>
              <w:rPr>
                <w:rFonts w:hint="eastAsia" w:hAnsi="宋体"/>
                <w:szCs w:val="21"/>
                <w:highlight w:val="none"/>
              </w:rPr>
              <w:t>℃</w:t>
            </w:r>
          </w:p>
        </w:tc>
        <w:tc>
          <w:tcPr>
            <w:tcW w:w="1357" w:type="dxa"/>
            <w:tcBorders>
              <w:righ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458" w:type="dxa"/>
            <w:tcBorders>
              <w:lef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样品3</w:t>
            </w:r>
          </w:p>
        </w:tc>
        <w:tc>
          <w:tcPr>
            <w:tcW w:w="1618" w:type="dxa"/>
            <w:vAlign w:val="center"/>
          </w:tcPr>
          <w:p>
            <w:pPr>
              <w:pStyle w:val="18"/>
              <w:spacing w:line="500" w:lineRule="exact"/>
              <w:ind w:firstLine="0" w:firstLineChars="0"/>
              <w:jc w:val="center"/>
              <w:rPr>
                <w:rFonts w:hint="eastAsia" w:hAnsi="宋体" w:eastAsia="宋体"/>
                <w:szCs w:val="21"/>
                <w:highlight w:val="none"/>
                <w:lang w:eastAsia="zh-CN"/>
              </w:rPr>
            </w:pPr>
            <w:r>
              <w:rPr>
                <w:rFonts w:hint="eastAsia" w:hAnsi="宋体"/>
                <w:szCs w:val="21"/>
                <w:highlight w:val="none"/>
                <w:lang w:val="en-US" w:eastAsia="zh-CN"/>
              </w:rPr>
              <w:t>床垫</w:t>
            </w:r>
          </w:p>
        </w:tc>
        <w:tc>
          <w:tcPr>
            <w:tcW w:w="1526"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加热功能</w:t>
            </w:r>
          </w:p>
        </w:tc>
        <w:tc>
          <w:tcPr>
            <w:tcW w:w="2737"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36.1℃~38.1℃</w:t>
            </w:r>
          </w:p>
        </w:tc>
        <w:tc>
          <w:tcPr>
            <w:tcW w:w="1357" w:type="dxa"/>
            <w:tcBorders>
              <w:righ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合格</w:t>
            </w:r>
          </w:p>
        </w:tc>
      </w:tr>
    </w:tbl>
    <w:p>
      <w:pPr>
        <w:spacing w:beforeLines="50" w:afterLines="50" w:line="360" w:lineRule="exact"/>
        <w:rPr>
          <w:rFonts w:eastAsia="黑体"/>
          <w:sz w:val="24"/>
          <w:highlight w:val="none"/>
        </w:rPr>
      </w:pPr>
      <w:r>
        <w:rPr>
          <w:rFonts w:hint="eastAsia" w:ascii="黑体" w:hAnsi="黑体" w:eastAsia="黑体"/>
          <w:sz w:val="28"/>
          <w:szCs w:val="28"/>
          <w:highlight w:val="none"/>
        </w:rPr>
        <w:t>3.7有害物质释放</w:t>
      </w:r>
    </w:p>
    <w:p>
      <w:pPr>
        <w:pStyle w:val="18"/>
        <w:spacing w:line="500" w:lineRule="exact"/>
        <w:ind w:firstLine="480"/>
        <w:rPr>
          <w:rFonts w:hAnsi="宋体"/>
          <w:sz w:val="24"/>
          <w:highlight w:val="none"/>
        </w:rPr>
      </w:pPr>
      <w:r>
        <w:rPr>
          <w:rFonts w:hint="eastAsia" w:hAnsi="宋体"/>
          <w:sz w:val="24"/>
          <w:highlight w:val="none"/>
        </w:rPr>
        <w:t>对2件电子密码柜样品进行甲醛释放量测试，实验结果：2件样品均合格。</w:t>
      </w:r>
    </w:p>
    <w:p>
      <w:pPr>
        <w:pStyle w:val="18"/>
        <w:tabs>
          <w:tab w:val="center" w:pos="4201"/>
          <w:tab w:val="right" w:leader="dot" w:pos="9298"/>
        </w:tabs>
        <w:spacing w:beforeLines="50" w:afterLines="50"/>
        <w:ind w:firstLine="0" w:firstLineChars="0"/>
        <w:jc w:val="center"/>
        <w:rPr>
          <w:rFonts w:eastAsia="黑体"/>
          <w:highlight w:val="none"/>
        </w:rPr>
      </w:pPr>
      <w:r>
        <w:rPr>
          <w:rFonts w:hint="eastAsia" w:ascii="黑体" w:hAnsi="黑体" w:eastAsia="黑体"/>
          <w:highlight w:val="none"/>
        </w:rPr>
        <w:t>表10　有害物质测试数据</w:t>
      </w:r>
    </w:p>
    <w:tbl>
      <w:tblPr>
        <w:tblStyle w:val="11"/>
        <w:tblW w:w="86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8"/>
        <w:gridCol w:w="1618"/>
        <w:gridCol w:w="1526"/>
        <w:gridCol w:w="2737"/>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458" w:type="dxa"/>
            <w:tcBorders>
              <w:top w:val="single" w:color="auto" w:sz="12" w:space="0"/>
              <w:left w:val="single" w:color="auto" w:sz="12" w:space="0"/>
            </w:tcBorders>
            <w:vAlign w:val="center"/>
          </w:tcPr>
          <w:p>
            <w:pPr>
              <w:pStyle w:val="18"/>
              <w:spacing w:line="500" w:lineRule="exact"/>
              <w:ind w:firstLine="0" w:firstLineChars="0"/>
              <w:jc w:val="center"/>
              <w:rPr>
                <w:rFonts w:hAnsi="宋体"/>
                <w:b/>
                <w:bCs/>
                <w:szCs w:val="21"/>
                <w:highlight w:val="none"/>
              </w:rPr>
            </w:pPr>
            <w:r>
              <w:rPr>
                <w:rFonts w:hint="eastAsia" w:hAnsi="宋体"/>
                <w:b/>
                <w:bCs/>
                <w:szCs w:val="21"/>
                <w:highlight w:val="none"/>
              </w:rPr>
              <w:t>序号</w:t>
            </w:r>
          </w:p>
        </w:tc>
        <w:tc>
          <w:tcPr>
            <w:tcW w:w="1618" w:type="dxa"/>
            <w:tcBorders>
              <w:top w:val="single" w:color="auto" w:sz="12" w:space="0"/>
            </w:tcBorders>
            <w:vAlign w:val="center"/>
          </w:tcPr>
          <w:p>
            <w:pPr>
              <w:pStyle w:val="18"/>
              <w:spacing w:line="500" w:lineRule="exact"/>
              <w:ind w:firstLine="0" w:firstLineChars="0"/>
              <w:jc w:val="center"/>
              <w:rPr>
                <w:rFonts w:hAnsi="宋体"/>
                <w:b/>
                <w:bCs/>
                <w:szCs w:val="21"/>
                <w:highlight w:val="none"/>
              </w:rPr>
            </w:pPr>
            <w:r>
              <w:rPr>
                <w:rFonts w:hint="eastAsia" w:hAnsi="宋体"/>
                <w:b/>
                <w:bCs/>
                <w:szCs w:val="21"/>
                <w:highlight w:val="none"/>
              </w:rPr>
              <w:t>样品名称</w:t>
            </w:r>
          </w:p>
        </w:tc>
        <w:tc>
          <w:tcPr>
            <w:tcW w:w="1526" w:type="dxa"/>
            <w:tcBorders>
              <w:top w:val="single" w:color="auto" w:sz="12" w:space="0"/>
            </w:tcBorders>
            <w:vAlign w:val="center"/>
          </w:tcPr>
          <w:p>
            <w:pPr>
              <w:pStyle w:val="18"/>
              <w:spacing w:line="500" w:lineRule="exact"/>
              <w:ind w:firstLine="0" w:firstLineChars="0"/>
              <w:jc w:val="center"/>
              <w:rPr>
                <w:rFonts w:hAnsi="宋体"/>
                <w:b/>
                <w:bCs/>
                <w:szCs w:val="21"/>
                <w:highlight w:val="none"/>
              </w:rPr>
            </w:pPr>
            <w:r>
              <w:rPr>
                <w:rFonts w:hint="eastAsia" w:hAnsi="宋体"/>
                <w:b/>
                <w:bCs/>
                <w:szCs w:val="21"/>
                <w:highlight w:val="none"/>
              </w:rPr>
              <w:t>参数</w:t>
            </w:r>
          </w:p>
        </w:tc>
        <w:tc>
          <w:tcPr>
            <w:tcW w:w="2737" w:type="dxa"/>
            <w:tcBorders>
              <w:top w:val="single" w:color="auto" w:sz="12" w:space="0"/>
            </w:tcBorders>
            <w:vAlign w:val="center"/>
          </w:tcPr>
          <w:p>
            <w:pPr>
              <w:pStyle w:val="18"/>
              <w:spacing w:line="500" w:lineRule="exact"/>
              <w:ind w:firstLine="0" w:firstLineChars="0"/>
              <w:jc w:val="center"/>
              <w:rPr>
                <w:rFonts w:hAnsi="宋体"/>
                <w:b/>
                <w:bCs/>
                <w:szCs w:val="21"/>
                <w:highlight w:val="none"/>
              </w:rPr>
            </w:pPr>
            <w:r>
              <w:rPr>
                <w:rFonts w:hint="eastAsia" w:hAnsi="宋体"/>
                <w:b/>
                <w:bCs/>
                <w:szCs w:val="21"/>
                <w:highlight w:val="none"/>
              </w:rPr>
              <w:t>测试结果</w:t>
            </w:r>
          </w:p>
        </w:tc>
        <w:tc>
          <w:tcPr>
            <w:tcW w:w="1357" w:type="dxa"/>
            <w:tcBorders>
              <w:top w:val="single" w:color="auto" w:sz="12" w:space="0"/>
              <w:right w:val="single" w:color="auto" w:sz="12" w:space="0"/>
            </w:tcBorders>
            <w:vAlign w:val="center"/>
          </w:tcPr>
          <w:p>
            <w:pPr>
              <w:pStyle w:val="18"/>
              <w:spacing w:line="500" w:lineRule="exact"/>
              <w:ind w:firstLine="0" w:firstLineChars="0"/>
              <w:jc w:val="center"/>
              <w:rPr>
                <w:rFonts w:hAnsi="宋体"/>
                <w:b/>
                <w:bCs/>
                <w:szCs w:val="21"/>
                <w:highlight w:val="none"/>
              </w:rPr>
            </w:pPr>
            <w:r>
              <w:rPr>
                <w:rFonts w:hint="eastAsia" w:hAnsi="宋体"/>
                <w:b/>
                <w:bCs/>
                <w:szCs w:val="21"/>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458" w:type="dxa"/>
            <w:tcBorders>
              <w:lef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样品1</w:t>
            </w:r>
          </w:p>
        </w:tc>
        <w:tc>
          <w:tcPr>
            <w:tcW w:w="1618" w:type="dxa"/>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电子密码柜</w:t>
            </w:r>
          </w:p>
        </w:tc>
        <w:tc>
          <w:tcPr>
            <w:tcW w:w="1526" w:type="dxa"/>
            <w:vAlign w:val="center"/>
          </w:tcPr>
          <w:p>
            <w:pPr>
              <w:pStyle w:val="18"/>
              <w:spacing w:line="500" w:lineRule="exact"/>
              <w:ind w:firstLine="0" w:firstLineChars="0"/>
              <w:jc w:val="center"/>
              <w:rPr>
                <w:rFonts w:hint="eastAsia" w:hAnsi="宋体" w:eastAsia="宋体"/>
                <w:szCs w:val="21"/>
                <w:highlight w:val="none"/>
                <w:lang w:eastAsia="zh-CN"/>
              </w:rPr>
            </w:pPr>
            <w:r>
              <w:rPr>
                <w:rFonts w:hint="eastAsia" w:hAnsi="宋体"/>
                <w:szCs w:val="21"/>
                <w:highlight w:val="none"/>
                <w:lang w:val="en-US" w:eastAsia="zh-CN"/>
              </w:rPr>
              <w:t>有害物质</w:t>
            </w:r>
          </w:p>
        </w:tc>
        <w:tc>
          <w:tcPr>
            <w:tcW w:w="2737" w:type="dxa"/>
            <w:vAlign w:val="center"/>
          </w:tcPr>
          <w:p>
            <w:pPr>
              <w:pStyle w:val="18"/>
              <w:spacing w:line="500" w:lineRule="exact"/>
              <w:ind w:firstLine="0" w:firstLineChars="0"/>
              <w:jc w:val="center"/>
              <w:rPr>
                <w:rFonts w:hint="default" w:hAnsi="宋体" w:eastAsia="宋体"/>
                <w:szCs w:val="21"/>
                <w:highlight w:val="none"/>
                <w:lang w:val="en-US" w:eastAsia="zh-CN"/>
              </w:rPr>
            </w:pPr>
            <w:r>
              <w:rPr>
                <w:rFonts w:hint="eastAsia" w:hAnsi="宋体"/>
                <w:szCs w:val="21"/>
                <w:highlight w:val="none"/>
                <w:lang w:val="en-US" w:eastAsia="zh-CN"/>
              </w:rPr>
              <w:t>符合要求</w:t>
            </w:r>
          </w:p>
        </w:tc>
        <w:tc>
          <w:tcPr>
            <w:tcW w:w="1357" w:type="dxa"/>
            <w:tcBorders>
              <w:righ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458" w:type="dxa"/>
            <w:tcBorders>
              <w:left w:val="single" w:color="auto" w:sz="12" w:space="0"/>
              <w:bottom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样品2</w:t>
            </w:r>
          </w:p>
        </w:tc>
        <w:tc>
          <w:tcPr>
            <w:tcW w:w="1618" w:type="dxa"/>
            <w:tcBorders>
              <w:bottom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电子密码柜</w:t>
            </w:r>
          </w:p>
        </w:tc>
        <w:tc>
          <w:tcPr>
            <w:tcW w:w="1526" w:type="dxa"/>
            <w:tcBorders>
              <w:bottom w:val="single" w:color="auto" w:sz="12" w:space="0"/>
            </w:tcBorders>
            <w:vAlign w:val="center"/>
          </w:tcPr>
          <w:p>
            <w:pPr>
              <w:pStyle w:val="18"/>
              <w:spacing w:line="500" w:lineRule="exact"/>
              <w:ind w:firstLine="0" w:firstLineChars="0"/>
              <w:jc w:val="center"/>
              <w:rPr>
                <w:rFonts w:hint="eastAsia" w:hAnsi="宋体" w:eastAsia="宋体"/>
                <w:szCs w:val="21"/>
                <w:highlight w:val="none"/>
                <w:lang w:val="en-US" w:eastAsia="zh-CN"/>
              </w:rPr>
            </w:pPr>
            <w:r>
              <w:rPr>
                <w:rFonts w:hint="eastAsia" w:hAnsi="宋体"/>
                <w:szCs w:val="21"/>
                <w:highlight w:val="none"/>
                <w:lang w:val="en-US" w:eastAsia="zh-CN"/>
              </w:rPr>
              <w:t>有害物质</w:t>
            </w:r>
          </w:p>
        </w:tc>
        <w:tc>
          <w:tcPr>
            <w:tcW w:w="2737" w:type="dxa"/>
            <w:tcBorders>
              <w:bottom w:val="single" w:color="auto" w:sz="12" w:space="0"/>
            </w:tcBorders>
            <w:vAlign w:val="center"/>
          </w:tcPr>
          <w:p>
            <w:pPr>
              <w:pStyle w:val="18"/>
              <w:spacing w:line="500" w:lineRule="exact"/>
              <w:ind w:firstLine="0" w:firstLineChars="0"/>
              <w:jc w:val="center"/>
              <w:rPr>
                <w:rFonts w:hint="default" w:hAnsi="宋体" w:eastAsia="宋体"/>
                <w:szCs w:val="21"/>
                <w:highlight w:val="none"/>
                <w:lang w:val="en-US" w:eastAsia="zh-CN"/>
              </w:rPr>
            </w:pPr>
            <w:r>
              <w:rPr>
                <w:rFonts w:hint="eastAsia" w:hAnsi="宋体"/>
                <w:szCs w:val="21"/>
                <w:highlight w:val="none"/>
                <w:lang w:val="en-US" w:eastAsia="zh-CN"/>
              </w:rPr>
              <w:t>符合要求</w:t>
            </w:r>
          </w:p>
        </w:tc>
        <w:tc>
          <w:tcPr>
            <w:tcW w:w="1357" w:type="dxa"/>
            <w:tcBorders>
              <w:bottom w:val="single" w:color="auto" w:sz="12" w:space="0"/>
              <w:right w:val="single" w:color="auto" w:sz="12" w:space="0"/>
            </w:tcBorders>
            <w:vAlign w:val="center"/>
          </w:tcPr>
          <w:p>
            <w:pPr>
              <w:pStyle w:val="18"/>
              <w:spacing w:line="500" w:lineRule="exact"/>
              <w:ind w:firstLine="0" w:firstLineChars="0"/>
              <w:jc w:val="center"/>
              <w:rPr>
                <w:rFonts w:hAnsi="宋体"/>
                <w:szCs w:val="21"/>
                <w:highlight w:val="none"/>
              </w:rPr>
            </w:pPr>
            <w:r>
              <w:rPr>
                <w:rFonts w:hint="eastAsia" w:hAnsi="宋体"/>
                <w:szCs w:val="21"/>
                <w:highlight w:val="none"/>
              </w:rPr>
              <w:t>合格</w:t>
            </w:r>
          </w:p>
        </w:tc>
      </w:tr>
    </w:tbl>
    <w:p>
      <w:pPr>
        <w:pStyle w:val="18"/>
        <w:spacing w:line="500" w:lineRule="exact"/>
        <w:ind w:firstLine="480"/>
        <w:rPr>
          <w:rFonts w:hAnsi="宋体"/>
          <w:sz w:val="24"/>
          <w:highlight w:val="none"/>
        </w:rPr>
      </w:pPr>
    </w:p>
    <w:p>
      <w:pPr>
        <w:pStyle w:val="3"/>
        <w:rPr>
          <w:rFonts w:ascii="黑体" w:hAnsi="黑体" w:cs="黑体"/>
          <w:b w:val="0"/>
          <w:bCs w:val="0"/>
          <w:sz w:val="28"/>
          <w:szCs w:val="28"/>
          <w:highlight w:val="none"/>
        </w:rPr>
      </w:pPr>
      <w:r>
        <w:rPr>
          <w:rFonts w:hint="eastAsia" w:ascii="黑体" w:hAnsi="黑体" w:cs="黑体"/>
          <w:b w:val="0"/>
          <w:bCs w:val="0"/>
          <w:sz w:val="28"/>
          <w:szCs w:val="28"/>
          <w:highlight w:val="none"/>
        </w:rPr>
        <w:t>4 标准中如果涉及专利，应有明确的知识产权说明</w:t>
      </w:r>
    </w:p>
    <w:p>
      <w:pPr>
        <w:spacing w:line="360" w:lineRule="auto"/>
        <w:ind w:firstLine="480" w:firstLineChars="200"/>
        <w:rPr>
          <w:rFonts w:hAnsi="宋体"/>
          <w:sz w:val="24"/>
          <w:highlight w:val="none"/>
        </w:rPr>
      </w:pPr>
      <w:r>
        <w:rPr>
          <w:rFonts w:hint="eastAsia" w:hAnsi="宋体"/>
          <w:sz w:val="24"/>
          <w:highlight w:val="none"/>
        </w:rPr>
        <w:t>未发现本标准涉及专利和知识产权的问题。</w:t>
      </w:r>
    </w:p>
    <w:p>
      <w:pPr>
        <w:pStyle w:val="3"/>
        <w:rPr>
          <w:rFonts w:ascii="黑体" w:hAnsi="黑体" w:cs="黑体"/>
          <w:b w:val="0"/>
          <w:bCs w:val="0"/>
          <w:sz w:val="28"/>
          <w:szCs w:val="28"/>
          <w:highlight w:val="none"/>
        </w:rPr>
      </w:pPr>
      <w:r>
        <w:rPr>
          <w:rFonts w:hint="eastAsia" w:ascii="黑体" w:hAnsi="黑体" w:cs="黑体"/>
          <w:b w:val="0"/>
          <w:bCs w:val="0"/>
          <w:sz w:val="28"/>
          <w:szCs w:val="28"/>
          <w:highlight w:val="none"/>
        </w:rPr>
        <w:t>5 产业化情况、推广应用论证和预期达到的经济效果等情况</w:t>
      </w:r>
    </w:p>
    <w:p>
      <w:pPr>
        <w:spacing w:line="360" w:lineRule="auto"/>
        <w:ind w:firstLine="480" w:firstLineChars="200"/>
        <w:rPr>
          <w:rFonts w:hAnsi="宋体"/>
          <w:sz w:val="24"/>
          <w:highlight w:val="none"/>
        </w:rPr>
      </w:pPr>
      <w:r>
        <w:rPr>
          <w:rFonts w:hint="eastAsia" w:hAnsi="宋体"/>
          <w:sz w:val="24"/>
          <w:highlight w:val="none"/>
        </w:rPr>
        <w:t>传统的家具生产行业是劳动密集型产业。智能家具是将传统与科技相融合，极大的增加了家具产品的附加值。根据推算，未来我国人民对智能家具产品的消费需求会进一步提高，智能家具的市场前景非常广阔。传统家具与现代电子信息技术的融合</w:t>
      </w:r>
      <w:r>
        <w:rPr>
          <w:rFonts w:hint="eastAsia" w:hAnsi="宋体"/>
          <w:sz w:val="24"/>
          <w:highlight w:val="none"/>
          <w:lang w:eastAsia="zh-CN"/>
        </w:rPr>
        <w:t>，</w:t>
      </w:r>
      <w:r>
        <w:rPr>
          <w:rFonts w:hint="eastAsia" w:hAnsi="宋体"/>
          <w:sz w:val="24"/>
          <w:highlight w:val="none"/>
        </w:rPr>
        <w:t xml:space="preserve"> 必将产生一个巨大市场，可以预见，未来10年将是智能制造发展的高峰时期。</w:t>
      </w:r>
    </w:p>
    <w:p>
      <w:pPr>
        <w:spacing w:line="360" w:lineRule="auto"/>
        <w:ind w:firstLine="480" w:firstLineChars="200"/>
        <w:rPr>
          <w:rFonts w:hAnsi="宋体"/>
          <w:sz w:val="24"/>
          <w:highlight w:val="none"/>
        </w:rPr>
      </w:pPr>
      <w:r>
        <w:rPr>
          <w:rFonts w:hint="eastAsia" w:hAnsi="宋体"/>
          <w:sz w:val="24"/>
          <w:highlight w:val="none"/>
        </w:rPr>
        <w:t xml:space="preserve">本标准的制定，将规范目前家具市场的智能家具产品，为智能家具产品标准体系的建立和完善奠定坚实的基础。在指导企业生产、提高智能家具产品质量、保护消费者利益，对行业健康有序发展方面起到积极的推动作用，具有重要的社会效益和经济效益。 </w:t>
      </w:r>
    </w:p>
    <w:p>
      <w:pPr>
        <w:pStyle w:val="3"/>
        <w:rPr>
          <w:rFonts w:ascii="黑体" w:hAnsi="黑体" w:cs="黑体"/>
          <w:b w:val="0"/>
          <w:bCs w:val="0"/>
          <w:sz w:val="28"/>
          <w:szCs w:val="28"/>
          <w:highlight w:val="none"/>
        </w:rPr>
      </w:pPr>
      <w:r>
        <w:rPr>
          <w:rFonts w:hint="eastAsia" w:ascii="黑体" w:hAnsi="黑体" w:cs="黑体"/>
          <w:b w:val="0"/>
          <w:bCs w:val="0"/>
          <w:sz w:val="28"/>
          <w:szCs w:val="28"/>
          <w:highlight w:val="none"/>
        </w:rPr>
        <w:t>6 采用国际标准和国外先进标准情况，与国际、国外同类标准水平的对比情况，国内外关键指标对比分析或与测试的国外样品、样机的相关数据对比情况</w:t>
      </w:r>
    </w:p>
    <w:p>
      <w:pPr>
        <w:spacing w:line="360" w:lineRule="auto"/>
        <w:ind w:firstLine="480" w:firstLineChars="200"/>
        <w:rPr>
          <w:rFonts w:hAnsi="宋体"/>
          <w:sz w:val="24"/>
          <w:highlight w:val="none"/>
        </w:rPr>
      </w:pPr>
      <w:r>
        <w:rPr>
          <w:rFonts w:hint="eastAsia" w:hAnsi="宋体"/>
          <w:sz w:val="24"/>
          <w:highlight w:val="none"/>
        </w:rPr>
        <w:t>本标准内容未采用国际、国外标准。</w:t>
      </w:r>
    </w:p>
    <w:p>
      <w:pPr>
        <w:pStyle w:val="3"/>
        <w:rPr>
          <w:rFonts w:ascii="黑体" w:hAnsi="黑体" w:cs="黑体"/>
          <w:b w:val="0"/>
          <w:bCs w:val="0"/>
          <w:sz w:val="28"/>
          <w:szCs w:val="28"/>
          <w:highlight w:val="none"/>
        </w:rPr>
      </w:pPr>
      <w:r>
        <w:rPr>
          <w:rFonts w:hint="eastAsia" w:ascii="黑体" w:hAnsi="黑体" w:cs="黑体"/>
          <w:b w:val="0"/>
          <w:bCs w:val="0"/>
          <w:sz w:val="28"/>
          <w:szCs w:val="28"/>
          <w:highlight w:val="none"/>
        </w:rPr>
        <w:t>7 与现行相关法律、法规、规章及相关标准，特别是强制性标准的协调性</w:t>
      </w:r>
    </w:p>
    <w:p>
      <w:pPr>
        <w:spacing w:line="360" w:lineRule="auto"/>
        <w:ind w:firstLine="480" w:firstLineChars="200"/>
        <w:rPr>
          <w:rFonts w:hAnsi="宋体"/>
          <w:sz w:val="24"/>
          <w:highlight w:val="none"/>
        </w:rPr>
      </w:pPr>
      <w:r>
        <w:rPr>
          <w:rFonts w:hint="eastAsia" w:hAnsi="宋体"/>
          <w:sz w:val="24"/>
          <w:highlight w:val="none"/>
        </w:rPr>
        <w:t>本标准</w:t>
      </w:r>
      <w:r>
        <w:rPr>
          <w:rFonts w:hAnsi="宋体"/>
          <w:sz w:val="24"/>
          <w:highlight w:val="none"/>
        </w:rPr>
        <w:t>与</w:t>
      </w:r>
      <w:r>
        <w:rPr>
          <w:rFonts w:hint="eastAsia" w:hAnsi="宋体"/>
          <w:sz w:val="24"/>
          <w:highlight w:val="none"/>
        </w:rPr>
        <w:t>我国</w:t>
      </w:r>
      <w:r>
        <w:rPr>
          <w:rFonts w:hAnsi="宋体"/>
          <w:sz w:val="24"/>
          <w:highlight w:val="none"/>
        </w:rPr>
        <w:t>现行相关法律、法规、规章及相关标准</w:t>
      </w:r>
      <w:r>
        <w:rPr>
          <w:rFonts w:hint="eastAsia" w:hAnsi="宋体"/>
          <w:sz w:val="24"/>
          <w:highlight w:val="none"/>
        </w:rPr>
        <w:t>相适宜</w:t>
      </w:r>
      <w:r>
        <w:rPr>
          <w:rFonts w:hAnsi="宋体"/>
          <w:sz w:val="24"/>
          <w:highlight w:val="none"/>
        </w:rPr>
        <w:t>。</w:t>
      </w:r>
    </w:p>
    <w:p>
      <w:pPr>
        <w:pStyle w:val="3"/>
        <w:rPr>
          <w:rFonts w:ascii="黑体" w:hAnsi="黑体" w:cs="黑体"/>
          <w:b w:val="0"/>
          <w:bCs w:val="0"/>
          <w:sz w:val="28"/>
          <w:szCs w:val="28"/>
          <w:highlight w:val="none"/>
        </w:rPr>
      </w:pPr>
      <w:r>
        <w:rPr>
          <w:rFonts w:hint="eastAsia" w:ascii="黑体" w:hAnsi="黑体" w:cs="黑体"/>
          <w:b w:val="0"/>
          <w:bCs w:val="0"/>
          <w:sz w:val="28"/>
          <w:szCs w:val="28"/>
          <w:highlight w:val="none"/>
        </w:rPr>
        <w:t>8 重大分歧意见的处理经过和依据</w:t>
      </w:r>
    </w:p>
    <w:p>
      <w:pPr>
        <w:spacing w:line="360" w:lineRule="auto"/>
        <w:ind w:firstLine="480" w:firstLineChars="200"/>
        <w:rPr>
          <w:rFonts w:hAnsi="宋体"/>
          <w:sz w:val="24"/>
          <w:highlight w:val="none"/>
        </w:rPr>
      </w:pPr>
      <w:r>
        <w:rPr>
          <w:rFonts w:hint="eastAsia" w:hAnsi="宋体"/>
          <w:sz w:val="24"/>
          <w:highlight w:val="none"/>
        </w:rPr>
        <w:t>标准编制过程中未发生重大分歧意见。</w:t>
      </w:r>
    </w:p>
    <w:p>
      <w:pPr>
        <w:pStyle w:val="3"/>
        <w:rPr>
          <w:rFonts w:ascii="黑体" w:hAnsi="黑体" w:cs="黑体"/>
          <w:b w:val="0"/>
          <w:bCs w:val="0"/>
          <w:sz w:val="28"/>
          <w:szCs w:val="28"/>
          <w:highlight w:val="none"/>
        </w:rPr>
      </w:pPr>
      <w:r>
        <w:rPr>
          <w:rFonts w:hint="eastAsia" w:ascii="黑体" w:hAnsi="黑体" w:cs="黑体"/>
          <w:b w:val="0"/>
          <w:bCs w:val="0"/>
          <w:sz w:val="28"/>
          <w:szCs w:val="28"/>
          <w:highlight w:val="none"/>
        </w:rPr>
        <w:t>9 标准性质的建议说明</w:t>
      </w:r>
    </w:p>
    <w:p>
      <w:pPr>
        <w:spacing w:line="360" w:lineRule="auto"/>
        <w:ind w:firstLine="480" w:firstLineChars="200"/>
        <w:rPr>
          <w:rFonts w:hAnsi="宋体"/>
          <w:sz w:val="24"/>
          <w:highlight w:val="none"/>
        </w:rPr>
      </w:pPr>
      <w:r>
        <w:rPr>
          <w:rFonts w:hint="eastAsia" w:hAnsi="宋体"/>
          <w:sz w:val="24"/>
          <w:highlight w:val="none"/>
        </w:rPr>
        <w:t>本标准是首次制定，建议作为国家推荐性标准发布实施。</w:t>
      </w:r>
    </w:p>
    <w:p>
      <w:pPr>
        <w:pStyle w:val="3"/>
        <w:rPr>
          <w:rFonts w:ascii="黑体" w:hAnsi="黑体" w:cs="黑体"/>
          <w:b w:val="0"/>
          <w:bCs w:val="0"/>
          <w:sz w:val="28"/>
          <w:szCs w:val="28"/>
          <w:highlight w:val="none"/>
        </w:rPr>
      </w:pPr>
      <w:r>
        <w:rPr>
          <w:rFonts w:hint="eastAsia" w:ascii="黑体" w:hAnsi="黑体" w:cs="黑体"/>
          <w:b w:val="0"/>
          <w:bCs w:val="0"/>
          <w:sz w:val="28"/>
          <w:szCs w:val="28"/>
          <w:highlight w:val="none"/>
        </w:rPr>
        <w:t>10 贯标准的要求和措施建议（包括组织措施、技术措施、过渡办法、实施日期等）</w:t>
      </w:r>
    </w:p>
    <w:p>
      <w:pPr>
        <w:spacing w:line="360" w:lineRule="auto"/>
        <w:ind w:firstLine="480" w:firstLineChars="200"/>
        <w:rPr>
          <w:rFonts w:hAnsi="宋体"/>
          <w:sz w:val="24"/>
          <w:highlight w:val="none"/>
        </w:rPr>
      </w:pPr>
      <w:r>
        <w:rPr>
          <w:rFonts w:hint="eastAsia" w:hAnsi="宋体"/>
          <w:sz w:val="24"/>
          <w:highlight w:val="none"/>
        </w:rPr>
        <w:t>建议本标准及时发布并实施。同时为了贯彻实施本标准，建议开展本标准应用技术的宣传贯彻工作。应在实施前保证文本的充足供应，让每个使用者都能及时得到文本，保证必要的检测仪器设备，这是保证新标准贯彻实施的基础。</w:t>
      </w:r>
    </w:p>
    <w:p>
      <w:pPr>
        <w:pStyle w:val="3"/>
        <w:rPr>
          <w:rFonts w:ascii="黑体" w:hAnsi="黑体" w:cs="黑体"/>
          <w:b w:val="0"/>
          <w:bCs w:val="0"/>
          <w:sz w:val="28"/>
          <w:szCs w:val="28"/>
          <w:highlight w:val="none"/>
        </w:rPr>
      </w:pPr>
      <w:r>
        <w:rPr>
          <w:rFonts w:hint="eastAsia" w:ascii="黑体" w:hAnsi="黑体" w:cs="黑体"/>
          <w:b w:val="0"/>
          <w:bCs w:val="0"/>
          <w:sz w:val="28"/>
          <w:szCs w:val="28"/>
          <w:highlight w:val="none"/>
        </w:rPr>
        <w:t>11 废止现行相关标准的建议</w:t>
      </w:r>
    </w:p>
    <w:p>
      <w:pPr>
        <w:spacing w:line="360" w:lineRule="auto"/>
        <w:ind w:firstLine="435"/>
        <w:rPr>
          <w:sz w:val="24"/>
          <w:highlight w:val="none"/>
        </w:rPr>
      </w:pPr>
      <w:r>
        <w:rPr>
          <w:rFonts w:hint="eastAsia" w:hAnsi="宋体"/>
          <w:sz w:val="24"/>
          <w:highlight w:val="none"/>
        </w:rPr>
        <w:t>本标准为第一次制定。无废止建议。</w:t>
      </w:r>
    </w:p>
    <w:p>
      <w:pPr>
        <w:pStyle w:val="3"/>
        <w:rPr>
          <w:rFonts w:ascii="黑体" w:hAnsi="黑体" w:cs="黑体"/>
          <w:b w:val="0"/>
          <w:bCs w:val="0"/>
          <w:sz w:val="28"/>
          <w:szCs w:val="28"/>
          <w:highlight w:val="none"/>
        </w:rPr>
      </w:pPr>
      <w:r>
        <w:rPr>
          <w:rFonts w:hint="eastAsia" w:ascii="黑体" w:hAnsi="黑体" w:cs="黑体"/>
          <w:b w:val="0"/>
          <w:bCs w:val="0"/>
          <w:sz w:val="28"/>
          <w:szCs w:val="28"/>
          <w:highlight w:val="none"/>
        </w:rPr>
        <w:t>12 其他应予说明的事项</w:t>
      </w:r>
    </w:p>
    <w:p>
      <w:pPr>
        <w:spacing w:beforeLines="30" w:afterLines="30" w:line="360" w:lineRule="exact"/>
        <w:ind w:firstLine="468"/>
        <w:rPr>
          <w:sz w:val="24"/>
          <w:highlight w:val="none"/>
        </w:rPr>
      </w:pPr>
      <w:r>
        <w:rPr>
          <w:rFonts w:hint="eastAsia"/>
          <w:sz w:val="24"/>
          <w:highlight w:val="none"/>
        </w:rPr>
        <w:t>无。</w:t>
      </w:r>
    </w:p>
    <w:p>
      <w:pPr>
        <w:spacing w:beforeLines="30" w:afterLines="30" w:line="360" w:lineRule="exact"/>
        <w:rPr>
          <w:sz w:val="24"/>
          <w:highlight w:val="none"/>
        </w:rPr>
      </w:pPr>
    </w:p>
    <w:p>
      <w:pPr>
        <w:jc w:val="right"/>
        <w:rPr>
          <w:sz w:val="24"/>
          <w:highlight w:val="none"/>
        </w:rPr>
      </w:pPr>
      <w:r>
        <w:rPr>
          <w:sz w:val="24"/>
          <w:highlight w:val="none"/>
        </w:rPr>
        <w:t>《</w:t>
      </w:r>
      <w:r>
        <w:rPr>
          <w:rFonts w:hint="eastAsia"/>
          <w:sz w:val="24"/>
          <w:highlight w:val="none"/>
        </w:rPr>
        <w:t>智能家具通用技术要求</w:t>
      </w:r>
      <w:r>
        <w:rPr>
          <w:sz w:val="24"/>
          <w:highlight w:val="none"/>
        </w:rPr>
        <w:t>》标准起草小组</w:t>
      </w:r>
    </w:p>
    <w:p>
      <w:pPr>
        <w:spacing w:beforeLines="30" w:afterLines="30" w:line="360" w:lineRule="exact"/>
        <w:jc w:val="right"/>
        <w:rPr>
          <w:sz w:val="24"/>
          <w:highlight w:val="none"/>
        </w:rPr>
      </w:pPr>
      <w:r>
        <w:rPr>
          <w:sz w:val="24"/>
          <w:highlight w:val="none"/>
        </w:rPr>
        <w:t>20</w:t>
      </w:r>
      <w:r>
        <w:rPr>
          <w:rFonts w:hint="eastAsia"/>
          <w:sz w:val="24"/>
          <w:highlight w:val="none"/>
        </w:rPr>
        <w:t>22</w:t>
      </w:r>
      <w:r>
        <w:rPr>
          <w:sz w:val="24"/>
          <w:highlight w:val="none"/>
        </w:rPr>
        <w:t>年</w:t>
      </w:r>
      <w:r>
        <w:rPr>
          <w:rFonts w:hint="eastAsia"/>
          <w:sz w:val="24"/>
          <w:highlight w:val="none"/>
        </w:rPr>
        <w:t>10</w:t>
      </w:r>
      <w:r>
        <w:rPr>
          <w:sz w:val="24"/>
          <w:highlight w:val="none"/>
        </w:rPr>
        <w:t>月</w:t>
      </w:r>
    </w:p>
    <w:p>
      <w:pPr>
        <w:spacing w:beforeLines="30" w:afterLines="30" w:line="360" w:lineRule="exact"/>
        <w:jc w:val="right"/>
        <w:rPr>
          <w:sz w:val="24"/>
          <w:highlight w:val="none"/>
        </w:rPr>
      </w:pPr>
    </w:p>
    <w:p>
      <w:pPr>
        <w:spacing w:beforeLines="30" w:afterLines="30" w:line="360" w:lineRule="exact"/>
        <w:ind w:right="960"/>
        <w:rPr>
          <w:sz w:val="24"/>
          <w:highlight w:val="none"/>
        </w:rPr>
      </w:pPr>
    </w:p>
    <w:sectPr>
      <w:pgSz w:w="11906" w:h="16838"/>
      <w:pgMar w:top="1440" w:right="1797" w:bottom="1440" w:left="1797" w:header="851" w:footer="992" w:gutter="0"/>
      <w:cols w:space="425"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p>
  <w:p>
    <w:pPr>
      <w:pStyle w:val="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F534C9"/>
    <w:multiLevelType w:val="multilevel"/>
    <w:tmpl w:val="69F534C9"/>
    <w:lvl w:ilvl="0" w:tentative="0">
      <w:start w:val="1"/>
      <w:numFmt w:val="decimal"/>
      <w:lvlText w:val="%1"/>
      <w:lvlJc w:val="left"/>
      <w:pPr>
        <w:ind w:left="405" w:hanging="405"/>
      </w:pPr>
      <w:rPr>
        <w:rFonts w:hint="default"/>
      </w:rPr>
    </w:lvl>
    <w:lvl w:ilvl="1" w:tentative="0">
      <w:start w:val="1"/>
      <w:numFmt w:val="decimal"/>
      <w:lvlText w:val="%1.%2"/>
      <w:lvlJc w:val="left"/>
      <w:pPr>
        <w:ind w:left="405" w:hanging="40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zk1NzhmNjg2MmE4MjU5ZmEyY2RjYWVjOWM2ZjAxYTkifQ=="/>
  </w:docVars>
  <w:rsids>
    <w:rsidRoot w:val="00EE7502"/>
    <w:rsid w:val="00032D21"/>
    <w:rsid w:val="000421CE"/>
    <w:rsid w:val="00080C0C"/>
    <w:rsid w:val="00081769"/>
    <w:rsid w:val="000825F8"/>
    <w:rsid w:val="000B3D8C"/>
    <w:rsid w:val="000E28BF"/>
    <w:rsid w:val="000F1245"/>
    <w:rsid w:val="00101D95"/>
    <w:rsid w:val="001254B7"/>
    <w:rsid w:val="00152CC4"/>
    <w:rsid w:val="00155351"/>
    <w:rsid w:val="001C7C3B"/>
    <w:rsid w:val="001D03DF"/>
    <w:rsid w:val="00200006"/>
    <w:rsid w:val="00204E83"/>
    <w:rsid w:val="00220A05"/>
    <w:rsid w:val="00237BF4"/>
    <w:rsid w:val="002436A2"/>
    <w:rsid w:val="002456B0"/>
    <w:rsid w:val="00245AEE"/>
    <w:rsid w:val="00263870"/>
    <w:rsid w:val="00277208"/>
    <w:rsid w:val="00291698"/>
    <w:rsid w:val="00297BD2"/>
    <w:rsid w:val="002D4BF4"/>
    <w:rsid w:val="00300A03"/>
    <w:rsid w:val="003069EC"/>
    <w:rsid w:val="00331117"/>
    <w:rsid w:val="00331284"/>
    <w:rsid w:val="00360422"/>
    <w:rsid w:val="003C221D"/>
    <w:rsid w:val="003C28D0"/>
    <w:rsid w:val="003E2D41"/>
    <w:rsid w:val="003E349F"/>
    <w:rsid w:val="003F45D9"/>
    <w:rsid w:val="003F7AE8"/>
    <w:rsid w:val="00420FE8"/>
    <w:rsid w:val="0043059E"/>
    <w:rsid w:val="004373C2"/>
    <w:rsid w:val="0044256B"/>
    <w:rsid w:val="0044368E"/>
    <w:rsid w:val="004479E5"/>
    <w:rsid w:val="004621BE"/>
    <w:rsid w:val="00490485"/>
    <w:rsid w:val="004966A9"/>
    <w:rsid w:val="004D3292"/>
    <w:rsid w:val="004E43BF"/>
    <w:rsid w:val="004E68F1"/>
    <w:rsid w:val="004E6C1B"/>
    <w:rsid w:val="00516EC2"/>
    <w:rsid w:val="00520324"/>
    <w:rsid w:val="0054115A"/>
    <w:rsid w:val="0055011C"/>
    <w:rsid w:val="005607C2"/>
    <w:rsid w:val="005B74E3"/>
    <w:rsid w:val="005D018A"/>
    <w:rsid w:val="005F60E7"/>
    <w:rsid w:val="0063052B"/>
    <w:rsid w:val="00644247"/>
    <w:rsid w:val="006444ED"/>
    <w:rsid w:val="006973E0"/>
    <w:rsid w:val="00705272"/>
    <w:rsid w:val="007151FD"/>
    <w:rsid w:val="00724515"/>
    <w:rsid w:val="007313FC"/>
    <w:rsid w:val="00761952"/>
    <w:rsid w:val="00764A0B"/>
    <w:rsid w:val="007662CB"/>
    <w:rsid w:val="00774EE5"/>
    <w:rsid w:val="00777A5F"/>
    <w:rsid w:val="0078175E"/>
    <w:rsid w:val="007B1881"/>
    <w:rsid w:val="007E645A"/>
    <w:rsid w:val="00816D07"/>
    <w:rsid w:val="0085333D"/>
    <w:rsid w:val="008604C2"/>
    <w:rsid w:val="00862595"/>
    <w:rsid w:val="00872D6F"/>
    <w:rsid w:val="008833B9"/>
    <w:rsid w:val="00886755"/>
    <w:rsid w:val="00890DEB"/>
    <w:rsid w:val="00891F34"/>
    <w:rsid w:val="00892404"/>
    <w:rsid w:val="008962AF"/>
    <w:rsid w:val="008B5344"/>
    <w:rsid w:val="008C7A06"/>
    <w:rsid w:val="008D112B"/>
    <w:rsid w:val="008E0C60"/>
    <w:rsid w:val="008F63B6"/>
    <w:rsid w:val="00905A12"/>
    <w:rsid w:val="009107CF"/>
    <w:rsid w:val="00922B30"/>
    <w:rsid w:val="00942CD1"/>
    <w:rsid w:val="00950112"/>
    <w:rsid w:val="00950240"/>
    <w:rsid w:val="00992B3B"/>
    <w:rsid w:val="00993FDA"/>
    <w:rsid w:val="00997D30"/>
    <w:rsid w:val="009B6386"/>
    <w:rsid w:val="009C068C"/>
    <w:rsid w:val="009C2330"/>
    <w:rsid w:val="009E31AD"/>
    <w:rsid w:val="00A10818"/>
    <w:rsid w:val="00A559A8"/>
    <w:rsid w:val="00A631CD"/>
    <w:rsid w:val="00A82A78"/>
    <w:rsid w:val="00AA5BA7"/>
    <w:rsid w:val="00AA7A19"/>
    <w:rsid w:val="00AB0904"/>
    <w:rsid w:val="00AB7A5F"/>
    <w:rsid w:val="00AC3644"/>
    <w:rsid w:val="00AF663C"/>
    <w:rsid w:val="00B07BC4"/>
    <w:rsid w:val="00B211FB"/>
    <w:rsid w:val="00B258BC"/>
    <w:rsid w:val="00B25AC4"/>
    <w:rsid w:val="00B9045B"/>
    <w:rsid w:val="00BC0467"/>
    <w:rsid w:val="00BC067C"/>
    <w:rsid w:val="00BD27DF"/>
    <w:rsid w:val="00BF6244"/>
    <w:rsid w:val="00BF6F4C"/>
    <w:rsid w:val="00C165FA"/>
    <w:rsid w:val="00C173D6"/>
    <w:rsid w:val="00C40614"/>
    <w:rsid w:val="00C713DE"/>
    <w:rsid w:val="00C91A3C"/>
    <w:rsid w:val="00C92439"/>
    <w:rsid w:val="00CA4ECF"/>
    <w:rsid w:val="00D00BCA"/>
    <w:rsid w:val="00D320BF"/>
    <w:rsid w:val="00D402F0"/>
    <w:rsid w:val="00D5016F"/>
    <w:rsid w:val="00D53B00"/>
    <w:rsid w:val="00D54443"/>
    <w:rsid w:val="00D63C54"/>
    <w:rsid w:val="00D76540"/>
    <w:rsid w:val="00DA351A"/>
    <w:rsid w:val="00DB1C0D"/>
    <w:rsid w:val="00E03161"/>
    <w:rsid w:val="00E252FB"/>
    <w:rsid w:val="00E37BAE"/>
    <w:rsid w:val="00E411B1"/>
    <w:rsid w:val="00E43AF9"/>
    <w:rsid w:val="00E50595"/>
    <w:rsid w:val="00E53249"/>
    <w:rsid w:val="00E53C65"/>
    <w:rsid w:val="00E7669E"/>
    <w:rsid w:val="00E838DB"/>
    <w:rsid w:val="00E96DF7"/>
    <w:rsid w:val="00ED329E"/>
    <w:rsid w:val="00ED775A"/>
    <w:rsid w:val="00EE4569"/>
    <w:rsid w:val="00EE7502"/>
    <w:rsid w:val="00F06B08"/>
    <w:rsid w:val="00F10ECA"/>
    <w:rsid w:val="00F83253"/>
    <w:rsid w:val="00F87605"/>
    <w:rsid w:val="00F95661"/>
    <w:rsid w:val="00FB586C"/>
    <w:rsid w:val="00FC6254"/>
    <w:rsid w:val="00FD7935"/>
    <w:rsid w:val="00FE517B"/>
    <w:rsid w:val="00FF616B"/>
    <w:rsid w:val="011D2710"/>
    <w:rsid w:val="01704931"/>
    <w:rsid w:val="018D1303"/>
    <w:rsid w:val="01AF179F"/>
    <w:rsid w:val="01C56903"/>
    <w:rsid w:val="01C6291E"/>
    <w:rsid w:val="01E4322D"/>
    <w:rsid w:val="01EE7C08"/>
    <w:rsid w:val="02353021"/>
    <w:rsid w:val="027C56F7"/>
    <w:rsid w:val="029139AF"/>
    <w:rsid w:val="02FA7565"/>
    <w:rsid w:val="03013896"/>
    <w:rsid w:val="03250C7E"/>
    <w:rsid w:val="03522419"/>
    <w:rsid w:val="039667A9"/>
    <w:rsid w:val="03A26EFC"/>
    <w:rsid w:val="042056C2"/>
    <w:rsid w:val="044060EC"/>
    <w:rsid w:val="047A5783"/>
    <w:rsid w:val="048E7480"/>
    <w:rsid w:val="04ED512E"/>
    <w:rsid w:val="0506696F"/>
    <w:rsid w:val="051C7496"/>
    <w:rsid w:val="052F2A11"/>
    <w:rsid w:val="053F44E9"/>
    <w:rsid w:val="05696C71"/>
    <w:rsid w:val="05716486"/>
    <w:rsid w:val="057B7A05"/>
    <w:rsid w:val="0584650D"/>
    <w:rsid w:val="05EA3751"/>
    <w:rsid w:val="05ED260D"/>
    <w:rsid w:val="06293733"/>
    <w:rsid w:val="064C6F32"/>
    <w:rsid w:val="07022EE9"/>
    <w:rsid w:val="072D659E"/>
    <w:rsid w:val="07302A71"/>
    <w:rsid w:val="075F5104"/>
    <w:rsid w:val="07731819"/>
    <w:rsid w:val="07884571"/>
    <w:rsid w:val="080B2B96"/>
    <w:rsid w:val="083577A3"/>
    <w:rsid w:val="084560A8"/>
    <w:rsid w:val="08856DEC"/>
    <w:rsid w:val="089963F4"/>
    <w:rsid w:val="08AE6343"/>
    <w:rsid w:val="08CC5C49"/>
    <w:rsid w:val="08D05C04"/>
    <w:rsid w:val="08E41D65"/>
    <w:rsid w:val="091F2D9D"/>
    <w:rsid w:val="09245773"/>
    <w:rsid w:val="0926237D"/>
    <w:rsid w:val="094871C7"/>
    <w:rsid w:val="09776735"/>
    <w:rsid w:val="09E57B43"/>
    <w:rsid w:val="0A5A0A4F"/>
    <w:rsid w:val="0A6B369D"/>
    <w:rsid w:val="0A9F47C2"/>
    <w:rsid w:val="0ACC485F"/>
    <w:rsid w:val="0AD13B0A"/>
    <w:rsid w:val="0AEB2EC4"/>
    <w:rsid w:val="0B024724"/>
    <w:rsid w:val="0B045880"/>
    <w:rsid w:val="0B3F3282"/>
    <w:rsid w:val="0B5673B2"/>
    <w:rsid w:val="0B781F71"/>
    <w:rsid w:val="0B8C15FE"/>
    <w:rsid w:val="0BC63728"/>
    <w:rsid w:val="0BCC71A3"/>
    <w:rsid w:val="0C160487"/>
    <w:rsid w:val="0C2A7A8F"/>
    <w:rsid w:val="0C487EC5"/>
    <w:rsid w:val="0C4C388C"/>
    <w:rsid w:val="0C5C7E64"/>
    <w:rsid w:val="0C7248AC"/>
    <w:rsid w:val="0D102177"/>
    <w:rsid w:val="0D272220"/>
    <w:rsid w:val="0D5D5C42"/>
    <w:rsid w:val="0DA50530"/>
    <w:rsid w:val="0DD86E09"/>
    <w:rsid w:val="0DFC6334"/>
    <w:rsid w:val="0E39220B"/>
    <w:rsid w:val="0E593859"/>
    <w:rsid w:val="0E685187"/>
    <w:rsid w:val="0E6F4346"/>
    <w:rsid w:val="0E8458B4"/>
    <w:rsid w:val="0E8A2A67"/>
    <w:rsid w:val="0EB160B7"/>
    <w:rsid w:val="0EBC2BF7"/>
    <w:rsid w:val="0F2E58BF"/>
    <w:rsid w:val="0F580DB7"/>
    <w:rsid w:val="0F6F4819"/>
    <w:rsid w:val="0FA068D9"/>
    <w:rsid w:val="0FAE09D7"/>
    <w:rsid w:val="0FB03D2D"/>
    <w:rsid w:val="0FC3072C"/>
    <w:rsid w:val="108C51BC"/>
    <w:rsid w:val="10B60B4F"/>
    <w:rsid w:val="10FF29F2"/>
    <w:rsid w:val="112A6783"/>
    <w:rsid w:val="113B2D40"/>
    <w:rsid w:val="114D6AA3"/>
    <w:rsid w:val="11590BE0"/>
    <w:rsid w:val="115D26B4"/>
    <w:rsid w:val="11706F72"/>
    <w:rsid w:val="119B7D49"/>
    <w:rsid w:val="11B524F0"/>
    <w:rsid w:val="11C81D50"/>
    <w:rsid w:val="11CC3396"/>
    <w:rsid w:val="11DB182B"/>
    <w:rsid w:val="12086AC4"/>
    <w:rsid w:val="124D11BE"/>
    <w:rsid w:val="128B5AAA"/>
    <w:rsid w:val="12906AB9"/>
    <w:rsid w:val="129360A7"/>
    <w:rsid w:val="129C545E"/>
    <w:rsid w:val="12E753B7"/>
    <w:rsid w:val="13253BB0"/>
    <w:rsid w:val="135A468F"/>
    <w:rsid w:val="135B36C0"/>
    <w:rsid w:val="1373624D"/>
    <w:rsid w:val="137B32C6"/>
    <w:rsid w:val="137F2DB6"/>
    <w:rsid w:val="13A7230D"/>
    <w:rsid w:val="13F66AFD"/>
    <w:rsid w:val="141B5B83"/>
    <w:rsid w:val="142179C9"/>
    <w:rsid w:val="14830684"/>
    <w:rsid w:val="14991C55"/>
    <w:rsid w:val="14CF5677"/>
    <w:rsid w:val="14E54BA6"/>
    <w:rsid w:val="14FC3F92"/>
    <w:rsid w:val="15051099"/>
    <w:rsid w:val="15102737"/>
    <w:rsid w:val="151E0C6C"/>
    <w:rsid w:val="15FB3A29"/>
    <w:rsid w:val="15FD4930"/>
    <w:rsid w:val="162B71E5"/>
    <w:rsid w:val="167A4F26"/>
    <w:rsid w:val="169D711A"/>
    <w:rsid w:val="16CE40CC"/>
    <w:rsid w:val="16E7206A"/>
    <w:rsid w:val="171C3B31"/>
    <w:rsid w:val="172A4DE7"/>
    <w:rsid w:val="174A7E4F"/>
    <w:rsid w:val="175045F4"/>
    <w:rsid w:val="17782C1A"/>
    <w:rsid w:val="17996410"/>
    <w:rsid w:val="17B36AA6"/>
    <w:rsid w:val="17D22226"/>
    <w:rsid w:val="17E4768B"/>
    <w:rsid w:val="17FA618C"/>
    <w:rsid w:val="18131D1F"/>
    <w:rsid w:val="182A2C1B"/>
    <w:rsid w:val="182D7DC0"/>
    <w:rsid w:val="18464E68"/>
    <w:rsid w:val="186404DF"/>
    <w:rsid w:val="18883F55"/>
    <w:rsid w:val="188D7D23"/>
    <w:rsid w:val="189A5F9C"/>
    <w:rsid w:val="18B2778A"/>
    <w:rsid w:val="18C31D89"/>
    <w:rsid w:val="18CE6E7B"/>
    <w:rsid w:val="18D53478"/>
    <w:rsid w:val="193828BB"/>
    <w:rsid w:val="19635C84"/>
    <w:rsid w:val="197C64D3"/>
    <w:rsid w:val="199944A6"/>
    <w:rsid w:val="199E386A"/>
    <w:rsid w:val="1A13513A"/>
    <w:rsid w:val="1A2B77F4"/>
    <w:rsid w:val="1A2C70C8"/>
    <w:rsid w:val="1A4A57A0"/>
    <w:rsid w:val="1A976C37"/>
    <w:rsid w:val="1A9D17A4"/>
    <w:rsid w:val="1AB05F4B"/>
    <w:rsid w:val="1ABD2416"/>
    <w:rsid w:val="1AFF4A58"/>
    <w:rsid w:val="1B0A4B59"/>
    <w:rsid w:val="1B60735E"/>
    <w:rsid w:val="1B7B10D4"/>
    <w:rsid w:val="1BAB226E"/>
    <w:rsid w:val="1BB355EC"/>
    <w:rsid w:val="1BD45C69"/>
    <w:rsid w:val="1BFB1448"/>
    <w:rsid w:val="1BFF527F"/>
    <w:rsid w:val="1BFF73B7"/>
    <w:rsid w:val="1C393866"/>
    <w:rsid w:val="1CA268E1"/>
    <w:rsid w:val="1CAE48CB"/>
    <w:rsid w:val="1CB7223E"/>
    <w:rsid w:val="1CC96E50"/>
    <w:rsid w:val="1CDF1A18"/>
    <w:rsid w:val="1CE974F2"/>
    <w:rsid w:val="1D002083"/>
    <w:rsid w:val="1D1C3424"/>
    <w:rsid w:val="1D2A019D"/>
    <w:rsid w:val="1D6F3E9B"/>
    <w:rsid w:val="1D7F39B2"/>
    <w:rsid w:val="1D820616"/>
    <w:rsid w:val="1D9704B5"/>
    <w:rsid w:val="1D983617"/>
    <w:rsid w:val="1D9C70F7"/>
    <w:rsid w:val="1DC73019"/>
    <w:rsid w:val="1E0433B0"/>
    <w:rsid w:val="1E234C86"/>
    <w:rsid w:val="1E394E71"/>
    <w:rsid w:val="1E3C3BF2"/>
    <w:rsid w:val="1E5135A1"/>
    <w:rsid w:val="1E6A69C7"/>
    <w:rsid w:val="1EB95C03"/>
    <w:rsid w:val="1EFD2009"/>
    <w:rsid w:val="1EFE16E3"/>
    <w:rsid w:val="1EFE2F32"/>
    <w:rsid w:val="1F122D30"/>
    <w:rsid w:val="1F752885"/>
    <w:rsid w:val="1F7A08D5"/>
    <w:rsid w:val="1F8E612F"/>
    <w:rsid w:val="1F901D14"/>
    <w:rsid w:val="1F97168B"/>
    <w:rsid w:val="1FDE2C12"/>
    <w:rsid w:val="1FE21EC2"/>
    <w:rsid w:val="1FEE2497"/>
    <w:rsid w:val="201516C0"/>
    <w:rsid w:val="20430C11"/>
    <w:rsid w:val="20663B3B"/>
    <w:rsid w:val="20823EE5"/>
    <w:rsid w:val="209459C7"/>
    <w:rsid w:val="211D3C0E"/>
    <w:rsid w:val="213816B4"/>
    <w:rsid w:val="215A3C9A"/>
    <w:rsid w:val="21783BC4"/>
    <w:rsid w:val="21785057"/>
    <w:rsid w:val="21A67760"/>
    <w:rsid w:val="21FA5CFD"/>
    <w:rsid w:val="21FE5FE6"/>
    <w:rsid w:val="22032E72"/>
    <w:rsid w:val="22342FBD"/>
    <w:rsid w:val="223631D9"/>
    <w:rsid w:val="22394A78"/>
    <w:rsid w:val="224407C8"/>
    <w:rsid w:val="2269354A"/>
    <w:rsid w:val="226C6D09"/>
    <w:rsid w:val="22883309"/>
    <w:rsid w:val="229816E8"/>
    <w:rsid w:val="22CF718A"/>
    <w:rsid w:val="22D16A5E"/>
    <w:rsid w:val="23007343"/>
    <w:rsid w:val="23151041"/>
    <w:rsid w:val="233552D0"/>
    <w:rsid w:val="235917EE"/>
    <w:rsid w:val="235F05C8"/>
    <w:rsid w:val="2362236B"/>
    <w:rsid w:val="236E713A"/>
    <w:rsid w:val="238A009C"/>
    <w:rsid w:val="240B5FA0"/>
    <w:rsid w:val="24600A59"/>
    <w:rsid w:val="246C1C9B"/>
    <w:rsid w:val="249661B1"/>
    <w:rsid w:val="250E3FD7"/>
    <w:rsid w:val="2513335E"/>
    <w:rsid w:val="252E0198"/>
    <w:rsid w:val="255E0D34"/>
    <w:rsid w:val="256B2ECA"/>
    <w:rsid w:val="25922771"/>
    <w:rsid w:val="25A36DFE"/>
    <w:rsid w:val="25AC7FE0"/>
    <w:rsid w:val="25BE7507"/>
    <w:rsid w:val="25E548A1"/>
    <w:rsid w:val="25EC6DFC"/>
    <w:rsid w:val="26031625"/>
    <w:rsid w:val="264D0AF2"/>
    <w:rsid w:val="266B424C"/>
    <w:rsid w:val="267E0CAB"/>
    <w:rsid w:val="26A06E73"/>
    <w:rsid w:val="26C314F0"/>
    <w:rsid w:val="26DF71D2"/>
    <w:rsid w:val="271B0BF0"/>
    <w:rsid w:val="273B4DEE"/>
    <w:rsid w:val="275027EC"/>
    <w:rsid w:val="277B168E"/>
    <w:rsid w:val="27982DA9"/>
    <w:rsid w:val="279C5CB3"/>
    <w:rsid w:val="27B16E5E"/>
    <w:rsid w:val="28051E73"/>
    <w:rsid w:val="28302798"/>
    <w:rsid w:val="28BC745B"/>
    <w:rsid w:val="28C42944"/>
    <w:rsid w:val="28C44CFB"/>
    <w:rsid w:val="28D76D64"/>
    <w:rsid w:val="290B4E18"/>
    <w:rsid w:val="2939710B"/>
    <w:rsid w:val="296A3769"/>
    <w:rsid w:val="298E7457"/>
    <w:rsid w:val="29930F11"/>
    <w:rsid w:val="299B5324"/>
    <w:rsid w:val="29C7132D"/>
    <w:rsid w:val="29CD0B43"/>
    <w:rsid w:val="29CE5DA6"/>
    <w:rsid w:val="29D62BAC"/>
    <w:rsid w:val="2A1C3D55"/>
    <w:rsid w:val="2A273408"/>
    <w:rsid w:val="2A506E02"/>
    <w:rsid w:val="2A830F86"/>
    <w:rsid w:val="2B110340"/>
    <w:rsid w:val="2B205660"/>
    <w:rsid w:val="2B2B055C"/>
    <w:rsid w:val="2B4F56D2"/>
    <w:rsid w:val="2B5027DF"/>
    <w:rsid w:val="2B5E62CF"/>
    <w:rsid w:val="2B794137"/>
    <w:rsid w:val="2BB533C1"/>
    <w:rsid w:val="2BE05F64"/>
    <w:rsid w:val="2BE315B0"/>
    <w:rsid w:val="2BE358D4"/>
    <w:rsid w:val="2C05145A"/>
    <w:rsid w:val="2C1A1476"/>
    <w:rsid w:val="2C31056E"/>
    <w:rsid w:val="2C3714F5"/>
    <w:rsid w:val="2C474BEA"/>
    <w:rsid w:val="2C732221"/>
    <w:rsid w:val="2D3434F4"/>
    <w:rsid w:val="2D510EC7"/>
    <w:rsid w:val="2D597D7C"/>
    <w:rsid w:val="2D634184"/>
    <w:rsid w:val="2D8C0151"/>
    <w:rsid w:val="2DBD50E7"/>
    <w:rsid w:val="2DEC299E"/>
    <w:rsid w:val="2E3D144C"/>
    <w:rsid w:val="2E422F06"/>
    <w:rsid w:val="2E450300"/>
    <w:rsid w:val="2E6D0991"/>
    <w:rsid w:val="2EA32BE5"/>
    <w:rsid w:val="2EA9088F"/>
    <w:rsid w:val="2EBF6305"/>
    <w:rsid w:val="2ECC5078"/>
    <w:rsid w:val="2EE558B6"/>
    <w:rsid w:val="2EFF6701"/>
    <w:rsid w:val="2F1B08DB"/>
    <w:rsid w:val="2F1C3757"/>
    <w:rsid w:val="2F537557"/>
    <w:rsid w:val="2FA379D4"/>
    <w:rsid w:val="2FAF18EC"/>
    <w:rsid w:val="2FC00586"/>
    <w:rsid w:val="2FCA4F61"/>
    <w:rsid w:val="2FDB43DF"/>
    <w:rsid w:val="2FE9450B"/>
    <w:rsid w:val="30292B16"/>
    <w:rsid w:val="305233BE"/>
    <w:rsid w:val="30A65F29"/>
    <w:rsid w:val="30A67BF8"/>
    <w:rsid w:val="30B442BC"/>
    <w:rsid w:val="30C54654"/>
    <w:rsid w:val="30FE1366"/>
    <w:rsid w:val="311A745C"/>
    <w:rsid w:val="315653CE"/>
    <w:rsid w:val="317E24A7"/>
    <w:rsid w:val="319E3E3B"/>
    <w:rsid w:val="31E51A2C"/>
    <w:rsid w:val="31E71DFA"/>
    <w:rsid w:val="31E85B72"/>
    <w:rsid w:val="321663F7"/>
    <w:rsid w:val="322272D6"/>
    <w:rsid w:val="3236133F"/>
    <w:rsid w:val="323813F6"/>
    <w:rsid w:val="32793410"/>
    <w:rsid w:val="328E671A"/>
    <w:rsid w:val="329B4784"/>
    <w:rsid w:val="32A75848"/>
    <w:rsid w:val="32FA4B9F"/>
    <w:rsid w:val="3310712F"/>
    <w:rsid w:val="33341648"/>
    <w:rsid w:val="33484C7E"/>
    <w:rsid w:val="338813BB"/>
    <w:rsid w:val="339972BC"/>
    <w:rsid w:val="33DC34B5"/>
    <w:rsid w:val="33EA7980"/>
    <w:rsid w:val="33F151B2"/>
    <w:rsid w:val="340D6BE8"/>
    <w:rsid w:val="34411443"/>
    <w:rsid w:val="348F5744"/>
    <w:rsid w:val="34C97208"/>
    <w:rsid w:val="352154CD"/>
    <w:rsid w:val="352D3108"/>
    <w:rsid w:val="35533E5E"/>
    <w:rsid w:val="355408AC"/>
    <w:rsid w:val="35542765"/>
    <w:rsid w:val="35624908"/>
    <w:rsid w:val="356674DA"/>
    <w:rsid w:val="356B1FD0"/>
    <w:rsid w:val="35740ACC"/>
    <w:rsid w:val="35803AE3"/>
    <w:rsid w:val="359570BB"/>
    <w:rsid w:val="35A51C8B"/>
    <w:rsid w:val="35EF7A77"/>
    <w:rsid w:val="36365F4B"/>
    <w:rsid w:val="36BB1AA7"/>
    <w:rsid w:val="36C41B32"/>
    <w:rsid w:val="36E77CA4"/>
    <w:rsid w:val="370623B0"/>
    <w:rsid w:val="377452C9"/>
    <w:rsid w:val="378B4EC7"/>
    <w:rsid w:val="37ED65CC"/>
    <w:rsid w:val="38042FDA"/>
    <w:rsid w:val="386F1DB0"/>
    <w:rsid w:val="387D1013"/>
    <w:rsid w:val="38841BEC"/>
    <w:rsid w:val="38854250"/>
    <w:rsid w:val="393D49F6"/>
    <w:rsid w:val="397F6DBC"/>
    <w:rsid w:val="39943498"/>
    <w:rsid w:val="39E66E3B"/>
    <w:rsid w:val="3A134303"/>
    <w:rsid w:val="3A496C54"/>
    <w:rsid w:val="3A4D0C68"/>
    <w:rsid w:val="3A52002D"/>
    <w:rsid w:val="3A975FC5"/>
    <w:rsid w:val="3AA3266A"/>
    <w:rsid w:val="3AA46CAA"/>
    <w:rsid w:val="3AB95C48"/>
    <w:rsid w:val="3AC84793"/>
    <w:rsid w:val="3ACE006C"/>
    <w:rsid w:val="3AD66104"/>
    <w:rsid w:val="3AD818F8"/>
    <w:rsid w:val="3AEF3ACE"/>
    <w:rsid w:val="3AF73444"/>
    <w:rsid w:val="3AFD268F"/>
    <w:rsid w:val="3B212A91"/>
    <w:rsid w:val="3B2E3C05"/>
    <w:rsid w:val="3B432BB2"/>
    <w:rsid w:val="3B4A39E4"/>
    <w:rsid w:val="3B5B5607"/>
    <w:rsid w:val="3B9764EF"/>
    <w:rsid w:val="3BAD3189"/>
    <w:rsid w:val="3BEA7C42"/>
    <w:rsid w:val="3BFA628C"/>
    <w:rsid w:val="3BFE1B26"/>
    <w:rsid w:val="3C2D62BB"/>
    <w:rsid w:val="3C7B4251"/>
    <w:rsid w:val="3C971923"/>
    <w:rsid w:val="3CB13731"/>
    <w:rsid w:val="3CDC62D4"/>
    <w:rsid w:val="3D0C5A7A"/>
    <w:rsid w:val="3D752367"/>
    <w:rsid w:val="3DA70690"/>
    <w:rsid w:val="3DD61A67"/>
    <w:rsid w:val="3E6D18D9"/>
    <w:rsid w:val="3E8945B7"/>
    <w:rsid w:val="3EB01BA7"/>
    <w:rsid w:val="3EB55EAB"/>
    <w:rsid w:val="3EF37672"/>
    <w:rsid w:val="3EF65EA2"/>
    <w:rsid w:val="3F0B662D"/>
    <w:rsid w:val="3F0F434A"/>
    <w:rsid w:val="3F402581"/>
    <w:rsid w:val="3F8C2250"/>
    <w:rsid w:val="3FCB5CC1"/>
    <w:rsid w:val="40105509"/>
    <w:rsid w:val="403B1563"/>
    <w:rsid w:val="403E177F"/>
    <w:rsid w:val="40786313"/>
    <w:rsid w:val="407F6468"/>
    <w:rsid w:val="408A030B"/>
    <w:rsid w:val="40BF3F42"/>
    <w:rsid w:val="40D73687"/>
    <w:rsid w:val="40D93256"/>
    <w:rsid w:val="40EC39E1"/>
    <w:rsid w:val="40F1292E"/>
    <w:rsid w:val="411D06B7"/>
    <w:rsid w:val="414A7784"/>
    <w:rsid w:val="4151229F"/>
    <w:rsid w:val="4169503B"/>
    <w:rsid w:val="4176014F"/>
    <w:rsid w:val="41A93684"/>
    <w:rsid w:val="41BB0BAE"/>
    <w:rsid w:val="41D41C6F"/>
    <w:rsid w:val="41E719A3"/>
    <w:rsid w:val="41F36599"/>
    <w:rsid w:val="41FD13CB"/>
    <w:rsid w:val="4237204B"/>
    <w:rsid w:val="42591487"/>
    <w:rsid w:val="42672AE3"/>
    <w:rsid w:val="428B428F"/>
    <w:rsid w:val="42AC2200"/>
    <w:rsid w:val="42C72CCA"/>
    <w:rsid w:val="4300323D"/>
    <w:rsid w:val="431C6B03"/>
    <w:rsid w:val="431C6D74"/>
    <w:rsid w:val="432307B8"/>
    <w:rsid w:val="432F3986"/>
    <w:rsid w:val="43364990"/>
    <w:rsid w:val="4359067E"/>
    <w:rsid w:val="43996CCD"/>
    <w:rsid w:val="43C33D49"/>
    <w:rsid w:val="440C5584"/>
    <w:rsid w:val="44330ECF"/>
    <w:rsid w:val="445873A3"/>
    <w:rsid w:val="447C5A84"/>
    <w:rsid w:val="44BD69EB"/>
    <w:rsid w:val="44DC6EE4"/>
    <w:rsid w:val="4511614D"/>
    <w:rsid w:val="458E3310"/>
    <w:rsid w:val="45991E60"/>
    <w:rsid w:val="45E63F9E"/>
    <w:rsid w:val="461E55A5"/>
    <w:rsid w:val="4642364B"/>
    <w:rsid w:val="46821C9A"/>
    <w:rsid w:val="46B552EF"/>
    <w:rsid w:val="46EA2BEE"/>
    <w:rsid w:val="46EE2CD5"/>
    <w:rsid w:val="46F94E42"/>
    <w:rsid w:val="47017063"/>
    <w:rsid w:val="4703102D"/>
    <w:rsid w:val="47084538"/>
    <w:rsid w:val="470B7B0C"/>
    <w:rsid w:val="474B6530"/>
    <w:rsid w:val="478D27B3"/>
    <w:rsid w:val="47B93F31"/>
    <w:rsid w:val="47CB6CBB"/>
    <w:rsid w:val="47DE1152"/>
    <w:rsid w:val="47E65CE5"/>
    <w:rsid w:val="47F932DD"/>
    <w:rsid w:val="47FE6366"/>
    <w:rsid w:val="482A0307"/>
    <w:rsid w:val="484A7474"/>
    <w:rsid w:val="489F6B33"/>
    <w:rsid w:val="48A91760"/>
    <w:rsid w:val="48CE21E8"/>
    <w:rsid w:val="48E70D9C"/>
    <w:rsid w:val="491422AA"/>
    <w:rsid w:val="49261002"/>
    <w:rsid w:val="49373210"/>
    <w:rsid w:val="495E69EE"/>
    <w:rsid w:val="499A2A81"/>
    <w:rsid w:val="49CD147E"/>
    <w:rsid w:val="4A286FFC"/>
    <w:rsid w:val="4A3802B0"/>
    <w:rsid w:val="4A972307"/>
    <w:rsid w:val="4AA91EEB"/>
    <w:rsid w:val="4AD57C27"/>
    <w:rsid w:val="4B01390E"/>
    <w:rsid w:val="4B0C247A"/>
    <w:rsid w:val="4B3C2D5F"/>
    <w:rsid w:val="4B460986"/>
    <w:rsid w:val="4B5D6832"/>
    <w:rsid w:val="4B604A17"/>
    <w:rsid w:val="4B86656B"/>
    <w:rsid w:val="4B9156CA"/>
    <w:rsid w:val="4BAF13F9"/>
    <w:rsid w:val="4BCE239B"/>
    <w:rsid w:val="4BD25472"/>
    <w:rsid w:val="4BDF69BA"/>
    <w:rsid w:val="4BE34F89"/>
    <w:rsid w:val="4BF7096E"/>
    <w:rsid w:val="4C4209C7"/>
    <w:rsid w:val="4C4E7A8F"/>
    <w:rsid w:val="4C602076"/>
    <w:rsid w:val="4C9E35A6"/>
    <w:rsid w:val="4CA30BBC"/>
    <w:rsid w:val="4CAD4113"/>
    <w:rsid w:val="4CB92B07"/>
    <w:rsid w:val="4CC91A13"/>
    <w:rsid w:val="4CD07C03"/>
    <w:rsid w:val="4CD3324F"/>
    <w:rsid w:val="4CE23492"/>
    <w:rsid w:val="4CEF5BAF"/>
    <w:rsid w:val="4D743C99"/>
    <w:rsid w:val="4D752558"/>
    <w:rsid w:val="4D8C081E"/>
    <w:rsid w:val="4DA92202"/>
    <w:rsid w:val="4DDB6792"/>
    <w:rsid w:val="4E476C29"/>
    <w:rsid w:val="4E4B5067"/>
    <w:rsid w:val="4E657732"/>
    <w:rsid w:val="4E726DEC"/>
    <w:rsid w:val="4E8F764A"/>
    <w:rsid w:val="4EC302AF"/>
    <w:rsid w:val="4EE334F2"/>
    <w:rsid w:val="4F19498D"/>
    <w:rsid w:val="4F381A8F"/>
    <w:rsid w:val="4F5207AA"/>
    <w:rsid w:val="4F543254"/>
    <w:rsid w:val="4FD23383"/>
    <w:rsid w:val="4FDE0F05"/>
    <w:rsid w:val="502E0EE4"/>
    <w:rsid w:val="50317C72"/>
    <w:rsid w:val="503F3C90"/>
    <w:rsid w:val="505A1D3D"/>
    <w:rsid w:val="507624DE"/>
    <w:rsid w:val="507C2020"/>
    <w:rsid w:val="50827466"/>
    <w:rsid w:val="50A94B87"/>
    <w:rsid w:val="50F14315"/>
    <w:rsid w:val="50F47C38"/>
    <w:rsid w:val="511902AF"/>
    <w:rsid w:val="515F7488"/>
    <w:rsid w:val="51711289"/>
    <w:rsid w:val="51981609"/>
    <w:rsid w:val="51A72EFC"/>
    <w:rsid w:val="51B710C6"/>
    <w:rsid w:val="51B92748"/>
    <w:rsid w:val="51D16502"/>
    <w:rsid w:val="523F4EE3"/>
    <w:rsid w:val="52552958"/>
    <w:rsid w:val="52921B66"/>
    <w:rsid w:val="52A511EA"/>
    <w:rsid w:val="52B00E39"/>
    <w:rsid w:val="52B94C95"/>
    <w:rsid w:val="52BB4D6D"/>
    <w:rsid w:val="52CD28C8"/>
    <w:rsid w:val="530E38A0"/>
    <w:rsid w:val="53106223"/>
    <w:rsid w:val="531B5950"/>
    <w:rsid w:val="53271B2A"/>
    <w:rsid w:val="53300EB5"/>
    <w:rsid w:val="534607DE"/>
    <w:rsid w:val="53564D37"/>
    <w:rsid w:val="535E601B"/>
    <w:rsid w:val="537D3F15"/>
    <w:rsid w:val="539774E2"/>
    <w:rsid w:val="541C1980"/>
    <w:rsid w:val="5422686A"/>
    <w:rsid w:val="543530C0"/>
    <w:rsid w:val="544246A1"/>
    <w:rsid w:val="545A31C9"/>
    <w:rsid w:val="54705401"/>
    <w:rsid w:val="547B4DAF"/>
    <w:rsid w:val="5486460F"/>
    <w:rsid w:val="550B75E0"/>
    <w:rsid w:val="551321CF"/>
    <w:rsid w:val="551B76D4"/>
    <w:rsid w:val="552F7491"/>
    <w:rsid w:val="55432646"/>
    <w:rsid w:val="5556223E"/>
    <w:rsid w:val="55570796"/>
    <w:rsid w:val="55CF35A7"/>
    <w:rsid w:val="55DD6EED"/>
    <w:rsid w:val="56245F3B"/>
    <w:rsid w:val="5625209A"/>
    <w:rsid w:val="563034C0"/>
    <w:rsid w:val="56344A74"/>
    <w:rsid w:val="563E0D05"/>
    <w:rsid w:val="566D7077"/>
    <w:rsid w:val="569C6DA8"/>
    <w:rsid w:val="56E17C92"/>
    <w:rsid w:val="570E249A"/>
    <w:rsid w:val="571721EB"/>
    <w:rsid w:val="575D619C"/>
    <w:rsid w:val="579E445A"/>
    <w:rsid w:val="57E94CAC"/>
    <w:rsid w:val="57F624E8"/>
    <w:rsid w:val="58076AB5"/>
    <w:rsid w:val="581616C8"/>
    <w:rsid w:val="58436C5F"/>
    <w:rsid w:val="58522703"/>
    <w:rsid w:val="58C346B5"/>
    <w:rsid w:val="594430E6"/>
    <w:rsid w:val="594C2116"/>
    <w:rsid w:val="596A4F3B"/>
    <w:rsid w:val="59904E8B"/>
    <w:rsid w:val="59F205CE"/>
    <w:rsid w:val="5A1E149C"/>
    <w:rsid w:val="5A2570B4"/>
    <w:rsid w:val="5A2A46CB"/>
    <w:rsid w:val="5A366BCB"/>
    <w:rsid w:val="5A437115"/>
    <w:rsid w:val="5A467051"/>
    <w:rsid w:val="5A4D7877"/>
    <w:rsid w:val="5A643739"/>
    <w:rsid w:val="5A93401E"/>
    <w:rsid w:val="5AA1496E"/>
    <w:rsid w:val="5AA82A18"/>
    <w:rsid w:val="5B260E66"/>
    <w:rsid w:val="5B4E1D50"/>
    <w:rsid w:val="5B514BC9"/>
    <w:rsid w:val="5B5A7E9B"/>
    <w:rsid w:val="5B9462A0"/>
    <w:rsid w:val="5BAA5AC3"/>
    <w:rsid w:val="5BDE0CC8"/>
    <w:rsid w:val="5BE32F34"/>
    <w:rsid w:val="5BE86088"/>
    <w:rsid w:val="5BF748BA"/>
    <w:rsid w:val="5C0056E3"/>
    <w:rsid w:val="5C470B89"/>
    <w:rsid w:val="5C520D66"/>
    <w:rsid w:val="5C675716"/>
    <w:rsid w:val="5C762810"/>
    <w:rsid w:val="5C976F3A"/>
    <w:rsid w:val="5CA26954"/>
    <w:rsid w:val="5CA543CA"/>
    <w:rsid w:val="5CB66ECE"/>
    <w:rsid w:val="5CB9365E"/>
    <w:rsid w:val="5D071531"/>
    <w:rsid w:val="5D320B8F"/>
    <w:rsid w:val="5D534F4F"/>
    <w:rsid w:val="5D7A55A8"/>
    <w:rsid w:val="5D83481E"/>
    <w:rsid w:val="5DBE3D68"/>
    <w:rsid w:val="5DDC4007"/>
    <w:rsid w:val="5E057B54"/>
    <w:rsid w:val="5E0A45F7"/>
    <w:rsid w:val="5E113BD7"/>
    <w:rsid w:val="5E1D5B3E"/>
    <w:rsid w:val="5E394EDC"/>
    <w:rsid w:val="5E5037F7"/>
    <w:rsid w:val="5E8D6626"/>
    <w:rsid w:val="5EBC1680"/>
    <w:rsid w:val="5F015114"/>
    <w:rsid w:val="5F2E7E75"/>
    <w:rsid w:val="5F4B7EC1"/>
    <w:rsid w:val="5FA34D03"/>
    <w:rsid w:val="5FBB723F"/>
    <w:rsid w:val="5FD67D35"/>
    <w:rsid w:val="600067A1"/>
    <w:rsid w:val="600A2CB8"/>
    <w:rsid w:val="60184FF1"/>
    <w:rsid w:val="608508AD"/>
    <w:rsid w:val="608F01E6"/>
    <w:rsid w:val="60CB13C1"/>
    <w:rsid w:val="60CE0543"/>
    <w:rsid w:val="6110306C"/>
    <w:rsid w:val="614147D4"/>
    <w:rsid w:val="61603AC8"/>
    <w:rsid w:val="61695AD8"/>
    <w:rsid w:val="617821BF"/>
    <w:rsid w:val="61880654"/>
    <w:rsid w:val="61AF3E33"/>
    <w:rsid w:val="62267A45"/>
    <w:rsid w:val="62397BA1"/>
    <w:rsid w:val="623F2BD8"/>
    <w:rsid w:val="624C4995"/>
    <w:rsid w:val="6260512D"/>
    <w:rsid w:val="6263685B"/>
    <w:rsid w:val="627818F5"/>
    <w:rsid w:val="62894684"/>
    <w:rsid w:val="62C730E9"/>
    <w:rsid w:val="62F5430A"/>
    <w:rsid w:val="630E2DDB"/>
    <w:rsid w:val="63225201"/>
    <w:rsid w:val="634A5EFC"/>
    <w:rsid w:val="63534095"/>
    <w:rsid w:val="63600BB5"/>
    <w:rsid w:val="63691DC0"/>
    <w:rsid w:val="637A4E06"/>
    <w:rsid w:val="63804ADF"/>
    <w:rsid w:val="64680E0B"/>
    <w:rsid w:val="64A766D5"/>
    <w:rsid w:val="64CC6DC6"/>
    <w:rsid w:val="64F34037"/>
    <w:rsid w:val="653A4C51"/>
    <w:rsid w:val="6545060B"/>
    <w:rsid w:val="654A47DB"/>
    <w:rsid w:val="654E7635"/>
    <w:rsid w:val="6566204B"/>
    <w:rsid w:val="658732D9"/>
    <w:rsid w:val="65A23DD5"/>
    <w:rsid w:val="65A96DEB"/>
    <w:rsid w:val="66391F1D"/>
    <w:rsid w:val="667602A9"/>
    <w:rsid w:val="668D04BB"/>
    <w:rsid w:val="669453A6"/>
    <w:rsid w:val="66DE2AC5"/>
    <w:rsid w:val="67291525"/>
    <w:rsid w:val="673C458D"/>
    <w:rsid w:val="67456625"/>
    <w:rsid w:val="67D652A3"/>
    <w:rsid w:val="67E06114"/>
    <w:rsid w:val="68093B71"/>
    <w:rsid w:val="68116BF4"/>
    <w:rsid w:val="68125768"/>
    <w:rsid w:val="681C5653"/>
    <w:rsid w:val="684129A5"/>
    <w:rsid w:val="68575CA1"/>
    <w:rsid w:val="689B5EB5"/>
    <w:rsid w:val="68B735CD"/>
    <w:rsid w:val="68C87588"/>
    <w:rsid w:val="68E41190"/>
    <w:rsid w:val="68E5019B"/>
    <w:rsid w:val="69417B15"/>
    <w:rsid w:val="69584DB0"/>
    <w:rsid w:val="69594684"/>
    <w:rsid w:val="69765236"/>
    <w:rsid w:val="69BA698E"/>
    <w:rsid w:val="69C22F36"/>
    <w:rsid w:val="6A486FA2"/>
    <w:rsid w:val="6A5C267E"/>
    <w:rsid w:val="6A6A45ED"/>
    <w:rsid w:val="6A883473"/>
    <w:rsid w:val="6ADB7A47"/>
    <w:rsid w:val="6AF97ECD"/>
    <w:rsid w:val="6AFF671E"/>
    <w:rsid w:val="6B347157"/>
    <w:rsid w:val="6B381F62"/>
    <w:rsid w:val="6B4A0729"/>
    <w:rsid w:val="6BDA7CFF"/>
    <w:rsid w:val="6BE75F78"/>
    <w:rsid w:val="6BF31B92"/>
    <w:rsid w:val="6C292A34"/>
    <w:rsid w:val="6C353187"/>
    <w:rsid w:val="6C4C1279"/>
    <w:rsid w:val="6C4D01F1"/>
    <w:rsid w:val="6CAD26D2"/>
    <w:rsid w:val="6CDA46C0"/>
    <w:rsid w:val="6CDA5ADC"/>
    <w:rsid w:val="6D162FB8"/>
    <w:rsid w:val="6D262AD0"/>
    <w:rsid w:val="6D83122F"/>
    <w:rsid w:val="6D910891"/>
    <w:rsid w:val="6E0E5606"/>
    <w:rsid w:val="6E274A84"/>
    <w:rsid w:val="6E277179"/>
    <w:rsid w:val="6E4B43EA"/>
    <w:rsid w:val="6E7A1325"/>
    <w:rsid w:val="6EC72090"/>
    <w:rsid w:val="6F1B08FA"/>
    <w:rsid w:val="6F453722"/>
    <w:rsid w:val="6F517F72"/>
    <w:rsid w:val="6F6049BF"/>
    <w:rsid w:val="6F9401C4"/>
    <w:rsid w:val="6F9603E0"/>
    <w:rsid w:val="6FB97C2B"/>
    <w:rsid w:val="6FE24D9C"/>
    <w:rsid w:val="6FEA0282"/>
    <w:rsid w:val="7005648E"/>
    <w:rsid w:val="7071525B"/>
    <w:rsid w:val="7080699B"/>
    <w:rsid w:val="709D12FB"/>
    <w:rsid w:val="70C67F9E"/>
    <w:rsid w:val="711C66C3"/>
    <w:rsid w:val="71273CE1"/>
    <w:rsid w:val="715C7408"/>
    <w:rsid w:val="716B12DF"/>
    <w:rsid w:val="718030F6"/>
    <w:rsid w:val="71B66B18"/>
    <w:rsid w:val="71CA4371"/>
    <w:rsid w:val="71DD22F7"/>
    <w:rsid w:val="71FE401B"/>
    <w:rsid w:val="725917E7"/>
    <w:rsid w:val="726F0358"/>
    <w:rsid w:val="72715DBD"/>
    <w:rsid w:val="727B2D97"/>
    <w:rsid w:val="72921205"/>
    <w:rsid w:val="7299248E"/>
    <w:rsid w:val="72AF5315"/>
    <w:rsid w:val="72EE47F2"/>
    <w:rsid w:val="72F64392"/>
    <w:rsid w:val="73470495"/>
    <w:rsid w:val="734C302C"/>
    <w:rsid w:val="736B3932"/>
    <w:rsid w:val="737909BC"/>
    <w:rsid w:val="73BC418E"/>
    <w:rsid w:val="73C179F6"/>
    <w:rsid w:val="74106173"/>
    <w:rsid w:val="74285D70"/>
    <w:rsid w:val="742C6645"/>
    <w:rsid w:val="74336802"/>
    <w:rsid w:val="74462DEC"/>
    <w:rsid w:val="74652FE8"/>
    <w:rsid w:val="74842EFD"/>
    <w:rsid w:val="748A4638"/>
    <w:rsid w:val="74CC0400"/>
    <w:rsid w:val="74E00800"/>
    <w:rsid w:val="74FB38EC"/>
    <w:rsid w:val="75630D65"/>
    <w:rsid w:val="763C640E"/>
    <w:rsid w:val="767E7F4D"/>
    <w:rsid w:val="76876947"/>
    <w:rsid w:val="768B15C0"/>
    <w:rsid w:val="76960CC6"/>
    <w:rsid w:val="76C4004B"/>
    <w:rsid w:val="76DF35FA"/>
    <w:rsid w:val="77023986"/>
    <w:rsid w:val="77341EA2"/>
    <w:rsid w:val="774442C4"/>
    <w:rsid w:val="77493F8A"/>
    <w:rsid w:val="77C47296"/>
    <w:rsid w:val="77DE0B76"/>
    <w:rsid w:val="77F566FE"/>
    <w:rsid w:val="782D7408"/>
    <w:rsid w:val="78385742"/>
    <w:rsid w:val="785D684A"/>
    <w:rsid w:val="788B238C"/>
    <w:rsid w:val="78A53442"/>
    <w:rsid w:val="78BF0401"/>
    <w:rsid w:val="78ED0DDD"/>
    <w:rsid w:val="795C61F7"/>
    <w:rsid w:val="79757F9F"/>
    <w:rsid w:val="79A13C0A"/>
    <w:rsid w:val="79A67472"/>
    <w:rsid w:val="79E10AC1"/>
    <w:rsid w:val="79E76011"/>
    <w:rsid w:val="7A150154"/>
    <w:rsid w:val="7A212F9C"/>
    <w:rsid w:val="7A6F5AB6"/>
    <w:rsid w:val="7A85177D"/>
    <w:rsid w:val="7AAD4830"/>
    <w:rsid w:val="7ACB4CB6"/>
    <w:rsid w:val="7B1228E5"/>
    <w:rsid w:val="7BB37A1D"/>
    <w:rsid w:val="7BD30039"/>
    <w:rsid w:val="7BEF6166"/>
    <w:rsid w:val="7C052E3C"/>
    <w:rsid w:val="7C177675"/>
    <w:rsid w:val="7C2154D6"/>
    <w:rsid w:val="7C43346D"/>
    <w:rsid w:val="7C694787"/>
    <w:rsid w:val="7C716C3D"/>
    <w:rsid w:val="7C743808"/>
    <w:rsid w:val="7CC469CC"/>
    <w:rsid w:val="7CD37CBA"/>
    <w:rsid w:val="7CD9190C"/>
    <w:rsid w:val="7CE04A49"/>
    <w:rsid w:val="7D2259A5"/>
    <w:rsid w:val="7D517F7A"/>
    <w:rsid w:val="7D536BA2"/>
    <w:rsid w:val="7D6D33E9"/>
    <w:rsid w:val="7D8F2650"/>
    <w:rsid w:val="7D9A187E"/>
    <w:rsid w:val="7DD81BC4"/>
    <w:rsid w:val="7E0D172A"/>
    <w:rsid w:val="7E35080F"/>
    <w:rsid w:val="7E583E4E"/>
    <w:rsid w:val="7E927FC5"/>
    <w:rsid w:val="7E9C7DCA"/>
    <w:rsid w:val="7EBE60CB"/>
    <w:rsid w:val="7EF23159"/>
    <w:rsid w:val="7F0215EE"/>
    <w:rsid w:val="7F182BC0"/>
    <w:rsid w:val="7F2C666B"/>
    <w:rsid w:val="7F8C50E8"/>
    <w:rsid w:val="7F9025BC"/>
    <w:rsid w:val="7FBD4387"/>
    <w:rsid w:val="7FD15198"/>
    <w:rsid w:val="7FEF736C"/>
    <w:rsid w:val="7FF57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0"/>
    <w:pPr>
      <w:keepNext/>
      <w:keepLines/>
      <w:spacing w:before="340" w:after="330" w:line="576" w:lineRule="auto"/>
      <w:outlineLvl w:val="0"/>
    </w:pPr>
    <w:rPr>
      <w:b/>
      <w:bCs/>
      <w:kern w:val="44"/>
      <w:sz w:val="44"/>
      <w:szCs w:val="44"/>
    </w:rPr>
  </w:style>
  <w:style w:type="paragraph" w:styleId="3">
    <w:name w:val="heading 2"/>
    <w:basedOn w:val="1"/>
    <w:next w:val="1"/>
    <w:link w:val="15"/>
    <w:qFormat/>
    <w:uiPriority w:val="0"/>
    <w:pPr>
      <w:keepNext/>
      <w:keepLines/>
      <w:spacing w:before="260" w:after="260" w:line="415" w:lineRule="auto"/>
      <w:outlineLvl w:val="1"/>
    </w:pPr>
    <w:rPr>
      <w:rFonts w:ascii="Arial" w:hAnsi="Arial" w:eastAsia="黑体"/>
      <w:b/>
      <w:bCs/>
      <w:sz w:val="32"/>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qFormat/>
    <w:uiPriority w:val="35"/>
    <w:rPr>
      <w:rFonts w:ascii="Cambria" w:hAnsi="Cambria" w:eastAsia="黑体"/>
      <w:sz w:val="20"/>
      <w:szCs w:val="20"/>
    </w:rPr>
  </w:style>
  <w:style w:type="paragraph" w:styleId="5">
    <w:name w:val="Body Text Indent"/>
    <w:basedOn w:val="1"/>
    <w:link w:val="25"/>
    <w:qFormat/>
    <w:uiPriority w:val="0"/>
    <w:pPr>
      <w:spacing w:line="0" w:lineRule="atLeast"/>
      <w:ind w:right="1352" w:rightChars="644" w:firstLine="523" w:firstLineChars="222"/>
    </w:pPr>
    <w:rPr>
      <w:rFonts w:ascii="Arial" w:hAnsi="Arial"/>
      <w:b/>
      <w:sz w:val="24"/>
      <w:szCs w:val="20"/>
    </w:rPr>
  </w:style>
  <w:style w:type="paragraph" w:styleId="6">
    <w:name w:val="Date"/>
    <w:basedOn w:val="1"/>
    <w:next w:val="1"/>
    <w:link w:val="28"/>
    <w:semiHidden/>
    <w:unhideWhenUsed/>
    <w:qFormat/>
    <w:uiPriority w:val="99"/>
    <w:pPr>
      <w:ind w:left="100" w:leftChars="2500"/>
    </w:pPr>
  </w:style>
  <w:style w:type="paragraph" w:styleId="7">
    <w:name w:val="Balloon Text"/>
    <w:basedOn w:val="1"/>
    <w:link w:val="29"/>
    <w:semiHidden/>
    <w:unhideWhenUsed/>
    <w:qFormat/>
    <w:uiPriority w:val="99"/>
    <w:rPr>
      <w:sz w:val="18"/>
      <w:szCs w:val="18"/>
    </w:rPr>
  </w:style>
  <w:style w:type="paragraph" w:styleId="8">
    <w:name w:val="footer"/>
    <w:basedOn w:val="1"/>
    <w:link w:val="17"/>
    <w:qFormat/>
    <w:uiPriority w:val="99"/>
    <w:pPr>
      <w:tabs>
        <w:tab w:val="center" w:pos="4153"/>
        <w:tab w:val="right" w:pos="8306"/>
      </w:tabs>
      <w:snapToGrid w:val="0"/>
      <w:jc w:val="left"/>
    </w:pPr>
    <w:rPr>
      <w:sz w:val="18"/>
      <w:szCs w:val="18"/>
    </w:rPr>
  </w:style>
  <w:style w:type="paragraph" w:styleId="9">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qFormat/>
    <w:uiPriority w:val="99"/>
    <w:rPr>
      <w:rFonts w:ascii="宋体" w:hAnsi="Times New Roman" w:eastAsia="宋体"/>
      <w:color w:val="auto"/>
      <w:spacing w:val="0"/>
      <w:w w:val="100"/>
      <w:position w:val="0"/>
      <w:sz w:val="21"/>
      <w:u w:val="none"/>
      <w:vertAlign w:val="baseline"/>
    </w:rPr>
  </w:style>
  <w:style w:type="character" w:customStyle="1" w:styleId="14">
    <w:name w:val="标题 1 Char"/>
    <w:basedOn w:val="12"/>
    <w:link w:val="2"/>
    <w:qFormat/>
    <w:uiPriority w:val="0"/>
    <w:rPr>
      <w:rFonts w:ascii="Times New Roman" w:hAnsi="Times New Roman" w:eastAsia="宋体" w:cs="Times New Roman"/>
      <w:b/>
      <w:bCs/>
      <w:kern w:val="44"/>
      <w:sz w:val="44"/>
      <w:szCs w:val="44"/>
    </w:rPr>
  </w:style>
  <w:style w:type="character" w:customStyle="1" w:styleId="15">
    <w:name w:val="标题 2 Char"/>
    <w:basedOn w:val="12"/>
    <w:link w:val="3"/>
    <w:qFormat/>
    <w:uiPriority w:val="0"/>
    <w:rPr>
      <w:rFonts w:ascii="Arial" w:hAnsi="Arial" w:eastAsia="黑体" w:cs="Times New Roman"/>
      <w:b/>
      <w:bCs/>
      <w:sz w:val="32"/>
      <w:szCs w:val="32"/>
    </w:rPr>
  </w:style>
  <w:style w:type="character" w:customStyle="1" w:styleId="16">
    <w:name w:val="页眉 Char"/>
    <w:basedOn w:val="12"/>
    <w:link w:val="9"/>
    <w:qFormat/>
    <w:uiPriority w:val="0"/>
    <w:rPr>
      <w:rFonts w:ascii="Times New Roman" w:hAnsi="Times New Roman" w:eastAsia="宋体" w:cs="Times New Roman"/>
      <w:sz w:val="18"/>
      <w:szCs w:val="18"/>
    </w:rPr>
  </w:style>
  <w:style w:type="character" w:customStyle="1" w:styleId="17">
    <w:name w:val="页脚 Char"/>
    <w:basedOn w:val="12"/>
    <w:link w:val="8"/>
    <w:qFormat/>
    <w:uiPriority w:val="99"/>
    <w:rPr>
      <w:rFonts w:ascii="Times New Roman" w:hAnsi="Times New Roman" w:eastAsia="宋体" w:cs="Times New Roman"/>
      <w:sz w:val="18"/>
      <w:szCs w:val="18"/>
    </w:rPr>
  </w:style>
  <w:style w:type="paragraph" w:customStyle="1" w:styleId="18">
    <w:name w:val="段"/>
    <w:link w:val="19"/>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19">
    <w:name w:val="段 Char"/>
    <w:basedOn w:val="12"/>
    <w:link w:val="18"/>
    <w:qFormat/>
    <w:uiPriority w:val="99"/>
    <w:rPr>
      <w:rFonts w:ascii="宋体" w:hAnsi="Times New Roman" w:eastAsia="宋体" w:cs="Times New Roman"/>
      <w:kern w:val="0"/>
      <w:szCs w:val="20"/>
    </w:rPr>
  </w:style>
  <w:style w:type="paragraph" w:customStyle="1" w:styleId="20">
    <w:name w:val="Normal_0"/>
    <w:qFormat/>
    <w:uiPriority w:val="0"/>
    <w:pPr>
      <w:spacing w:before="120" w:after="240"/>
      <w:jc w:val="both"/>
    </w:pPr>
    <w:rPr>
      <w:rFonts w:ascii="Calibri" w:hAnsi="Calibri" w:eastAsia="Calibri" w:cs="Times New Roman"/>
      <w:sz w:val="22"/>
      <w:szCs w:val="22"/>
      <w:lang w:val="en-US" w:eastAsia="en-US" w:bidi="ar-SA"/>
    </w:rPr>
  </w:style>
  <w:style w:type="paragraph" w:customStyle="1" w:styleId="21">
    <w:name w:val="Normal_9"/>
    <w:qFormat/>
    <w:uiPriority w:val="0"/>
    <w:pPr>
      <w:spacing w:before="120" w:after="240"/>
      <w:jc w:val="both"/>
    </w:pPr>
    <w:rPr>
      <w:rFonts w:ascii="Calibri" w:hAnsi="Calibri" w:eastAsia="Calibri" w:cs="Times New Roman"/>
      <w:sz w:val="22"/>
      <w:szCs w:val="22"/>
      <w:lang w:val="en-US" w:eastAsia="en-US" w:bidi="ar-SA"/>
    </w:rPr>
  </w:style>
  <w:style w:type="paragraph" w:customStyle="1" w:styleId="22">
    <w:name w:val="正文表标题"/>
    <w:next w:val="18"/>
    <w:qFormat/>
    <w:uiPriority w:val="99"/>
    <w:pPr>
      <w:tabs>
        <w:tab w:val="left" w:pos="360"/>
      </w:tabs>
      <w:spacing w:beforeLines="50" w:afterLines="50"/>
      <w:jc w:val="center"/>
    </w:pPr>
    <w:rPr>
      <w:rFonts w:ascii="黑体" w:hAnsi="Times New Roman" w:eastAsia="黑体" w:cs="黑体"/>
      <w:sz w:val="21"/>
      <w:szCs w:val="21"/>
      <w:lang w:val="en-US" w:eastAsia="zh-CN" w:bidi="ar-SA"/>
    </w:rPr>
  </w:style>
  <w:style w:type="paragraph" w:styleId="23">
    <w:name w:val="List Paragraph"/>
    <w:basedOn w:val="1"/>
    <w:qFormat/>
    <w:uiPriority w:val="34"/>
    <w:pPr>
      <w:ind w:firstLine="420" w:firstLineChars="200"/>
    </w:pPr>
  </w:style>
  <w:style w:type="paragraph" w:customStyle="1" w:styleId="24">
    <w:name w:val="Char Char Char Char Char Char Char Char Char Char Char Char"/>
    <w:basedOn w:val="1"/>
    <w:qFormat/>
    <w:uiPriority w:val="0"/>
    <w:pPr>
      <w:widowControl/>
      <w:spacing w:after="160" w:line="240" w:lineRule="exact"/>
      <w:jc w:val="left"/>
    </w:pPr>
    <w:rPr>
      <w:rFonts w:ascii="Verdana" w:hAnsi="Verdana"/>
      <w:kern w:val="0"/>
      <w:sz w:val="18"/>
      <w:szCs w:val="20"/>
      <w:lang w:eastAsia="en-US"/>
    </w:rPr>
  </w:style>
  <w:style w:type="character" w:customStyle="1" w:styleId="25">
    <w:name w:val="正文文本缩进 Char"/>
    <w:basedOn w:val="12"/>
    <w:link w:val="5"/>
    <w:qFormat/>
    <w:uiPriority w:val="0"/>
    <w:rPr>
      <w:rFonts w:ascii="Arial" w:hAnsi="Arial" w:eastAsia="宋体" w:cs="Times New Roman"/>
      <w:b/>
      <w:sz w:val="24"/>
      <w:szCs w:val="20"/>
    </w:rPr>
  </w:style>
  <w:style w:type="paragraph" w:customStyle="1" w:styleId="26">
    <w:name w:val="列出段落1"/>
    <w:basedOn w:val="1"/>
    <w:qFormat/>
    <w:uiPriority w:val="0"/>
    <w:pPr>
      <w:ind w:firstLine="420" w:firstLineChars="200"/>
    </w:pPr>
    <w:rPr>
      <w:rFonts w:ascii="Calibri" w:hAnsi="Calibri"/>
      <w:szCs w:val="22"/>
    </w:rPr>
  </w:style>
  <w:style w:type="character" w:customStyle="1" w:styleId="27">
    <w:name w:val="apple-converted-space"/>
    <w:basedOn w:val="12"/>
    <w:qFormat/>
    <w:uiPriority w:val="0"/>
  </w:style>
  <w:style w:type="character" w:customStyle="1" w:styleId="28">
    <w:name w:val="日期 Char"/>
    <w:basedOn w:val="12"/>
    <w:link w:val="6"/>
    <w:semiHidden/>
    <w:qFormat/>
    <w:uiPriority w:val="99"/>
    <w:rPr>
      <w:rFonts w:ascii="Times New Roman" w:hAnsi="Times New Roman" w:eastAsia="宋体" w:cs="Times New Roman"/>
      <w:szCs w:val="24"/>
    </w:rPr>
  </w:style>
  <w:style w:type="character" w:customStyle="1" w:styleId="29">
    <w:name w:val="批注框文本 Char"/>
    <w:basedOn w:val="12"/>
    <w:link w:val="7"/>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sqi</Company>
  <Pages>25</Pages>
  <Words>10486</Words>
  <Characters>12384</Characters>
  <Lines>97</Lines>
  <Paragraphs>27</Paragraphs>
  <TotalTime>39</TotalTime>
  <ScaleCrop>false</ScaleCrop>
  <LinksUpToDate>false</LinksUpToDate>
  <CharactersWithSpaces>12713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2019-09-03T06:58:00Z</dcterms:created>
  <dc:creator>zxb</dc:creator>
  <cp:lastModifiedBy>孙书冬</cp:lastModifiedBy>
  <dcterms:modified xsi:type="dcterms:W3CDTF">2022-11-29T02:19:42Z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5FD85FF5B8D545D3A8066CFF183C0DB5</vt:lpwstr>
  </property>
</Properties>
</file>